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42CD" w:rsidRPr="00C342CD" w:rsidRDefault="00C342CD" w:rsidP="00C342CD">
      <w:pPr>
        <w:spacing w:before="200" w:after="100" w:line="240" w:lineRule="auto"/>
        <w:outlineLvl w:val="1"/>
        <w:rPr>
          <w:rFonts w:ascii="Arial" w:eastAsia="Times New Roman" w:hAnsi="Arial" w:cs="Arial"/>
          <w:b/>
          <w:bCs/>
          <w:sz w:val="14"/>
          <w:szCs w:val="14"/>
        </w:rPr>
      </w:pPr>
      <w:proofErr w:type="gramStart"/>
      <w:r w:rsidRPr="00C342CD">
        <w:rPr>
          <w:rFonts w:ascii="Arial" w:eastAsia="Times New Roman" w:hAnsi="Arial" w:cs="Arial"/>
          <w:b/>
          <w:bCs/>
          <w:sz w:val="14"/>
          <w:szCs w:val="14"/>
        </w:rPr>
        <w:t>§ 60.1   Applicability.</w:t>
      </w:r>
      <w:proofErr w:type="gramEnd"/>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(a) Except as provided in subparts B and C, the provisions of this part apply to the owner or operator of any stationary source which contains an affected facility, the construction or modification of which is commenced after the date of publication in this part of any standard (or, if earlier, the date of publication of any proposed standard) applicable to that facility.</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(b) Any new or revised standard of performance promulgated pursuant to section 111(b) of the Act shall apply to the owner or operator of any stationary source which contains an affected facility, the construction or modification of which is commenced after the date of publication in this part of such new or revised standard (or, if earlier, the date of publication of any proposed standard) applicable to that facility.</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(c) In addition to complying with the provisions of this part, the owner or operator of an affected facility may be required to obtain an operating permit issued to stationary sources by an authorized State air pollution control agency or by the Administrator of the U.S. Environmental Protection Agency (EPA) pursuant to Title V of the Clean Air Act (Act) as amended November 15, 1990 (42 U.S.C. 7661). For more information about obtaining an operating permit see part 70 of this chapter.</w:t>
      </w:r>
    </w:p>
    <w:p w:rsidR="00C342CD" w:rsidRPr="00C342CD" w:rsidRDefault="00C342CD" w:rsidP="00243D64">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 xml:space="preserve">(d) </w:t>
      </w:r>
      <w:r w:rsidRPr="00C342CD">
        <w:rPr>
          <w:rFonts w:ascii="Arial" w:eastAsia="Times New Roman" w:hAnsi="Arial" w:cs="Arial"/>
          <w:i/>
          <w:iCs/>
          <w:sz w:val="14"/>
          <w:szCs w:val="14"/>
        </w:rPr>
        <w:t>Site-specific standard for Merck &amp; Co., Inc.'s Stonewall Plant in Elkton, Virginia.</w:t>
      </w:r>
      <w:r w:rsidRPr="00C342CD">
        <w:rPr>
          <w:rFonts w:ascii="Arial" w:eastAsia="Times New Roman" w:hAnsi="Arial" w:cs="Arial"/>
          <w:sz w:val="14"/>
          <w:szCs w:val="14"/>
        </w:rPr>
        <w:t xml:space="preserve"> (1) This paragraph applies only to the pharmaceutical manufacturing facility, commonly referred to as the Stonewall Plant, located at Route 340 South, in Elkton, Virginia (“site”).</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(2) Except for compliance with 40 CFR 60.49b(u), the site shall have the option of either complying directly with the requirements of this part, or reducing the site-wide emissions caps in accordance with the procedures set forth in a permit issued pursuant to 40 CFR 52.2454. If the site chooses the option of reducing the site-wide emissions caps in accordance with the procedures set forth in such permit, the requirements of such permit shall apply in lieu of the otherwise applicable requirements of this part.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(3) Notwithstanding the provisions of paragraph (d</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2) of this section, for any provisions of this part except for Subpart Kb, the owner/operator of the site shall comply with the applicable provisions of this part if the Administrator determines that compliance with the provisions of this part is necessary for achieving the objectives of the regulation and the Administrator notifies the site in accordance with the provisions of the permit issued pursuant to 40 CFR 52.2454.</w:t>
      </w:r>
    </w:p>
    <w:p w:rsidR="00C342CD" w:rsidRPr="00C342CD" w:rsidRDefault="00C342CD" w:rsidP="00C342CD">
      <w:pPr>
        <w:spacing w:before="200"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[40 FR 53346, Nov. 17, 1975, as amended at 55 FR 51382, Dec. 13, 1990; 59 FR 12427, Mar. 16, 1994; 62 FR 52641, Oct. 8, 1997]</w:t>
      </w:r>
    </w:p>
    <w:p w:rsidR="00C342CD" w:rsidRPr="00C342CD" w:rsidRDefault="00C342CD" w:rsidP="00C342CD">
      <w:pPr>
        <w:spacing w:before="200" w:after="100" w:line="240" w:lineRule="auto"/>
        <w:outlineLvl w:val="1"/>
        <w:rPr>
          <w:rFonts w:ascii="Arial" w:eastAsia="Times New Roman" w:hAnsi="Arial" w:cs="Arial"/>
          <w:b/>
          <w:bCs/>
          <w:sz w:val="14"/>
          <w:szCs w:val="14"/>
        </w:rPr>
      </w:pPr>
      <w:bookmarkStart w:id="0" w:name="40:7.0.1.1.1.1.151.2"/>
      <w:bookmarkEnd w:id="0"/>
      <w:r w:rsidRPr="00C342CD">
        <w:rPr>
          <w:rFonts w:ascii="Arial" w:eastAsia="Times New Roman" w:hAnsi="Arial" w:cs="Arial"/>
          <w:b/>
          <w:bCs/>
          <w:sz w:val="14"/>
          <w:szCs w:val="14"/>
        </w:rPr>
        <w:t>§ 60.2   Definitions.</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The terms used in this part are defined in the Act or in this section as follows:</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i/>
          <w:iCs/>
          <w:sz w:val="14"/>
          <w:szCs w:val="14"/>
        </w:rPr>
        <w:t>Act</w:t>
      </w:r>
      <w:r w:rsidRPr="00C342CD">
        <w:rPr>
          <w:rFonts w:ascii="Arial" w:eastAsia="Times New Roman" w:hAnsi="Arial" w:cs="Arial"/>
          <w:sz w:val="14"/>
          <w:szCs w:val="14"/>
        </w:rPr>
        <w:t xml:space="preserve"> means the Clean Air Act (42 U.S.C. 7401 </w:t>
      </w:r>
      <w:r w:rsidRPr="00C342CD">
        <w:rPr>
          <w:rFonts w:ascii="Arial" w:eastAsia="Times New Roman" w:hAnsi="Arial" w:cs="Arial"/>
          <w:i/>
          <w:iCs/>
          <w:sz w:val="14"/>
          <w:szCs w:val="14"/>
        </w:rPr>
        <w:t>et seq</w:t>
      </w:r>
      <w:proofErr w:type="gramStart"/>
      <w:r w:rsidRPr="00C342CD">
        <w:rPr>
          <w:rFonts w:ascii="Arial" w:eastAsia="Times New Roman" w:hAnsi="Arial" w:cs="Arial"/>
          <w:i/>
          <w:iCs/>
          <w:sz w:val="14"/>
          <w:szCs w:val="14"/>
        </w:rPr>
        <w:t>.</w:t>
      </w:r>
      <w:r w:rsidRPr="00C342CD">
        <w:rPr>
          <w:rFonts w:ascii="Arial" w:eastAsia="Times New Roman" w:hAnsi="Arial" w:cs="Arial"/>
          <w:sz w:val="14"/>
          <w:szCs w:val="14"/>
        </w:rPr>
        <w:t xml:space="preserve"> )</w:t>
      </w:r>
      <w:proofErr w:type="gramEnd"/>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i/>
          <w:iCs/>
          <w:sz w:val="14"/>
          <w:szCs w:val="14"/>
        </w:rPr>
        <w:t>Administrator</w:t>
      </w:r>
      <w:r w:rsidRPr="00C342CD">
        <w:rPr>
          <w:rFonts w:ascii="Arial" w:eastAsia="Times New Roman" w:hAnsi="Arial" w:cs="Arial"/>
          <w:sz w:val="14"/>
          <w:szCs w:val="14"/>
        </w:rPr>
        <w:t xml:space="preserve"> means the Administrator of the Environmental Protection Agency or his authorized representative.</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i/>
          <w:iCs/>
          <w:sz w:val="14"/>
          <w:szCs w:val="14"/>
        </w:rPr>
        <w:t>Affected facility</w:t>
      </w:r>
      <w:r w:rsidRPr="00C342CD">
        <w:rPr>
          <w:rFonts w:ascii="Arial" w:eastAsia="Times New Roman" w:hAnsi="Arial" w:cs="Arial"/>
          <w:sz w:val="14"/>
          <w:szCs w:val="14"/>
        </w:rPr>
        <w:t xml:space="preserve"> means, with reference to a stationary source, any apparatus to which a standard is applicable.</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i/>
          <w:iCs/>
          <w:sz w:val="14"/>
          <w:szCs w:val="14"/>
        </w:rPr>
        <w:t>Alternative method</w:t>
      </w:r>
      <w:r w:rsidRPr="00C342CD">
        <w:rPr>
          <w:rFonts w:ascii="Arial" w:eastAsia="Times New Roman" w:hAnsi="Arial" w:cs="Arial"/>
          <w:sz w:val="14"/>
          <w:szCs w:val="14"/>
        </w:rPr>
        <w:t xml:space="preserve"> means any method of sampling and analyzing for an air pollutant which is not a reference or equivalent method but which has been demonstrated to the Administrator's satisfaction to, in specific cases, produce results adequate for his determination of compliance.</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i/>
          <w:iCs/>
          <w:sz w:val="14"/>
          <w:szCs w:val="14"/>
        </w:rPr>
        <w:t>Approved permit program</w:t>
      </w:r>
      <w:r w:rsidRPr="00C342CD">
        <w:rPr>
          <w:rFonts w:ascii="Arial" w:eastAsia="Times New Roman" w:hAnsi="Arial" w:cs="Arial"/>
          <w:sz w:val="14"/>
          <w:szCs w:val="14"/>
        </w:rPr>
        <w:t xml:space="preserve"> means a State permit program approved by the Administrator as meeting the requirements of part 70 of this chapter or a Federal permit program established in this chapter pursuant to Title V of the Act (42 U.S.C. 7661).</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i/>
          <w:iCs/>
          <w:sz w:val="14"/>
          <w:szCs w:val="14"/>
        </w:rPr>
        <w:t>Capital expenditure</w:t>
      </w:r>
      <w:r w:rsidRPr="00C342CD">
        <w:rPr>
          <w:rFonts w:ascii="Arial" w:eastAsia="Times New Roman" w:hAnsi="Arial" w:cs="Arial"/>
          <w:sz w:val="14"/>
          <w:szCs w:val="14"/>
        </w:rPr>
        <w:t xml:space="preserve"> means an expenditure for a physical or operational change to an existing facility which exceeds the product of the applicable “annual asset guideline repair allowance percentage” specified in the latest edition of Internal Revenue Service (IRS) Publication 534 and the existing facility's basis, as defined by section 1012 of the Internal Revenue Code. However, the total expenditure for a physical or operational change to an existing facility must not be reduced by any “excluded additions” as defined in IRS Publication 534, as would be done for tax purposes.</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i/>
          <w:iCs/>
          <w:sz w:val="14"/>
          <w:szCs w:val="14"/>
        </w:rPr>
        <w:t>Clean coal technology demonstration project</w:t>
      </w:r>
      <w:r w:rsidRPr="00C342CD">
        <w:rPr>
          <w:rFonts w:ascii="Arial" w:eastAsia="Times New Roman" w:hAnsi="Arial" w:cs="Arial"/>
          <w:sz w:val="14"/>
          <w:szCs w:val="14"/>
        </w:rPr>
        <w:t xml:space="preserve"> means a project using funds appropriated under the heading ‘Department of Energy-Clean Coal Technology’, up to a total amount of $2,500,000,000 for commercial demonstrations of clean coal technology, or similar projects funded through appropriations for the Environmental Protection Agency.</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i/>
          <w:iCs/>
          <w:sz w:val="14"/>
          <w:szCs w:val="14"/>
        </w:rPr>
        <w:t>Commenced</w:t>
      </w:r>
      <w:r w:rsidRPr="00C342CD">
        <w:rPr>
          <w:rFonts w:ascii="Arial" w:eastAsia="Times New Roman" w:hAnsi="Arial" w:cs="Arial"/>
          <w:sz w:val="14"/>
          <w:szCs w:val="14"/>
        </w:rPr>
        <w:t xml:space="preserve"> means, with respect to the definition of </w:t>
      </w:r>
      <w:r w:rsidRPr="00C342CD">
        <w:rPr>
          <w:rFonts w:ascii="Arial" w:eastAsia="Times New Roman" w:hAnsi="Arial" w:cs="Arial"/>
          <w:i/>
          <w:iCs/>
          <w:sz w:val="14"/>
          <w:szCs w:val="14"/>
        </w:rPr>
        <w:t>new source</w:t>
      </w:r>
      <w:r w:rsidRPr="00C342CD">
        <w:rPr>
          <w:rFonts w:ascii="Arial" w:eastAsia="Times New Roman" w:hAnsi="Arial" w:cs="Arial"/>
          <w:sz w:val="14"/>
          <w:szCs w:val="14"/>
        </w:rPr>
        <w:t xml:space="preserve"> in section 111(a)(2) of the Act, that an owner or operator has undertaken a continuous program of construction or modification or that an owner or operator has entered into a contractual obligation to undertake and complete, within a reasonable time, a continuous program of construction or modification.</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i/>
          <w:iCs/>
          <w:sz w:val="14"/>
          <w:szCs w:val="14"/>
        </w:rPr>
        <w:t>Construction</w:t>
      </w:r>
      <w:r w:rsidRPr="00C342CD">
        <w:rPr>
          <w:rFonts w:ascii="Arial" w:eastAsia="Times New Roman" w:hAnsi="Arial" w:cs="Arial"/>
          <w:sz w:val="14"/>
          <w:szCs w:val="14"/>
        </w:rPr>
        <w:t xml:space="preserve"> means fabrication, erection, or installation of an affected facility.</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i/>
          <w:iCs/>
          <w:sz w:val="14"/>
          <w:szCs w:val="14"/>
        </w:rPr>
        <w:lastRenderedPageBreak/>
        <w:t>Continuous monitoring system</w:t>
      </w:r>
      <w:r w:rsidRPr="00C342CD">
        <w:rPr>
          <w:rFonts w:ascii="Arial" w:eastAsia="Times New Roman" w:hAnsi="Arial" w:cs="Arial"/>
          <w:sz w:val="14"/>
          <w:szCs w:val="14"/>
        </w:rPr>
        <w:t xml:space="preserve"> means the total equipment, required under the emission monitoring sections in applicable subparts, used to sample and condition (if applicable), to analyze, and to provide a permanent record of emissions or process parameters.</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i/>
          <w:iCs/>
          <w:sz w:val="14"/>
          <w:szCs w:val="14"/>
        </w:rPr>
        <w:t>Electric utility steam generating unit</w:t>
      </w:r>
      <w:r w:rsidRPr="00C342CD">
        <w:rPr>
          <w:rFonts w:ascii="Arial" w:eastAsia="Times New Roman" w:hAnsi="Arial" w:cs="Arial"/>
          <w:sz w:val="14"/>
          <w:szCs w:val="14"/>
        </w:rPr>
        <w:t xml:space="preserve"> means any steam electric generating unit that is constructed for the purpose of supplying more than one-third of its potential electric output capacity and more than 25 MW electrical </w:t>
      </w:r>
      <w:proofErr w:type="gramStart"/>
      <w:r w:rsidRPr="00C342CD">
        <w:rPr>
          <w:rFonts w:ascii="Arial" w:eastAsia="Times New Roman" w:hAnsi="Arial" w:cs="Arial"/>
          <w:sz w:val="14"/>
          <w:szCs w:val="14"/>
        </w:rPr>
        <w:t>output</w:t>
      </w:r>
      <w:proofErr w:type="gramEnd"/>
      <w:r w:rsidRPr="00C342CD">
        <w:rPr>
          <w:rFonts w:ascii="Arial" w:eastAsia="Times New Roman" w:hAnsi="Arial" w:cs="Arial"/>
          <w:sz w:val="14"/>
          <w:szCs w:val="14"/>
        </w:rPr>
        <w:t xml:space="preserve"> to any utility power distribution system for sale. Any steam supplied to a steam distribution system for the purpose of providing steam to a steam-electric generator that would produce electrical energy for sale is also considered in determining the electrical energy output capacity of the affected facility.</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i/>
          <w:iCs/>
          <w:sz w:val="14"/>
          <w:szCs w:val="14"/>
        </w:rPr>
        <w:t>Equivalent method</w:t>
      </w:r>
      <w:r w:rsidRPr="00C342CD">
        <w:rPr>
          <w:rFonts w:ascii="Arial" w:eastAsia="Times New Roman" w:hAnsi="Arial" w:cs="Arial"/>
          <w:sz w:val="14"/>
          <w:szCs w:val="14"/>
        </w:rPr>
        <w:t xml:space="preserve"> means any method of sampling and analyzing for an air pollutant which has been demonstrated to the Administrator's satisfaction to have a consistent and quantitatively known relationship to the reference method, under specified conditions.</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i/>
          <w:iCs/>
          <w:sz w:val="14"/>
          <w:szCs w:val="14"/>
        </w:rPr>
        <w:t>Excess Emissions and Monitoring Systems Performance Report</w:t>
      </w:r>
      <w:r w:rsidRPr="00C342CD">
        <w:rPr>
          <w:rFonts w:ascii="Arial" w:eastAsia="Times New Roman" w:hAnsi="Arial" w:cs="Arial"/>
          <w:sz w:val="14"/>
          <w:szCs w:val="14"/>
        </w:rPr>
        <w:t xml:space="preserve"> is a report that must be submitted periodically by a source in order to provide data on its compliance with stated emission limits and operating parameters, and on the performance of its monitoring systems.</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i/>
          <w:iCs/>
          <w:sz w:val="14"/>
          <w:szCs w:val="14"/>
        </w:rPr>
        <w:t>Existing facility</w:t>
      </w:r>
      <w:r w:rsidRPr="00C342CD">
        <w:rPr>
          <w:rFonts w:ascii="Arial" w:eastAsia="Times New Roman" w:hAnsi="Arial" w:cs="Arial"/>
          <w:sz w:val="14"/>
          <w:szCs w:val="14"/>
        </w:rPr>
        <w:t xml:space="preserve"> means, with reference to a stationary source, any apparatus of the type for which a standard is promulgated in this part, and the construction or modification of which was commenced before the date of proposal of that standard; or any apparatus which could be altered in such a way as to be of that type.</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i/>
          <w:iCs/>
          <w:sz w:val="14"/>
          <w:szCs w:val="14"/>
        </w:rPr>
        <w:t>Force majeure</w:t>
      </w:r>
      <w:r w:rsidRPr="00C342CD">
        <w:rPr>
          <w:rFonts w:ascii="Arial" w:eastAsia="Times New Roman" w:hAnsi="Arial" w:cs="Arial"/>
          <w:sz w:val="14"/>
          <w:szCs w:val="14"/>
        </w:rPr>
        <w:t xml:space="preserve"> means, for purposes of § 60.8,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i/>
          <w:iCs/>
          <w:sz w:val="14"/>
          <w:szCs w:val="14"/>
        </w:rPr>
        <w:t>Isokinetic sampling</w:t>
      </w:r>
      <w:r w:rsidRPr="00C342CD">
        <w:rPr>
          <w:rFonts w:ascii="Arial" w:eastAsia="Times New Roman" w:hAnsi="Arial" w:cs="Arial"/>
          <w:sz w:val="14"/>
          <w:szCs w:val="14"/>
        </w:rPr>
        <w:t xml:space="preserve"> means sampling in which the linear velocity of the gas entering the sampling nozzle is equal to that of the undisturbed gas stream at the sample point.</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i/>
          <w:iCs/>
          <w:sz w:val="14"/>
          <w:szCs w:val="14"/>
        </w:rPr>
        <w:t>Issuance</w:t>
      </w:r>
      <w:r w:rsidRPr="00C342CD">
        <w:rPr>
          <w:rFonts w:ascii="Arial" w:eastAsia="Times New Roman" w:hAnsi="Arial" w:cs="Arial"/>
          <w:sz w:val="14"/>
          <w:szCs w:val="14"/>
        </w:rPr>
        <w:t xml:space="preserve"> 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i/>
          <w:iCs/>
          <w:sz w:val="14"/>
          <w:szCs w:val="14"/>
        </w:rPr>
        <w:t>Malfunction</w:t>
      </w:r>
      <w:r w:rsidRPr="00C342CD">
        <w:rPr>
          <w:rFonts w:ascii="Arial" w:eastAsia="Times New Roman" w:hAnsi="Arial" w:cs="Arial"/>
          <w:sz w:val="14"/>
          <w:szCs w:val="14"/>
        </w:rPr>
        <w:t xml:space="preserve"> means any sudden, infrequent, and not reasonably preventable failure of air pollution control equipment, process equipment, or a process to operate in a normal or usual manner. Failures that are caused in part by poor maintenance or careless operation are not malfunctions.</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i/>
          <w:iCs/>
          <w:sz w:val="14"/>
          <w:szCs w:val="14"/>
        </w:rPr>
        <w:t>Modification</w:t>
      </w:r>
      <w:r w:rsidRPr="00C342CD">
        <w:rPr>
          <w:rFonts w:ascii="Arial" w:eastAsia="Times New Roman" w:hAnsi="Arial" w:cs="Arial"/>
          <w:sz w:val="14"/>
          <w:szCs w:val="14"/>
        </w:rPr>
        <w:t xml:space="preserve"> means any physical change in, or change in the method of operation of, an existing facility which increases the amount of any air pollutant (to which a standard applies) emitted into the atmosphere by that facility or which results in the emission of any air pollutant (to which a standard applies) into the atmosphere not previously emitted.</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i/>
          <w:iCs/>
          <w:sz w:val="14"/>
          <w:szCs w:val="14"/>
        </w:rPr>
        <w:t>Monitoring device</w:t>
      </w:r>
      <w:r w:rsidRPr="00C342CD">
        <w:rPr>
          <w:rFonts w:ascii="Arial" w:eastAsia="Times New Roman" w:hAnsi="Arial" w:cs="Arial"/>
          <w:sz w:val="14"/>
          <w:szCs w:val="14"/>
        </w:rPr>
        <w:t xml:space="preserve"> means the total equipment, required under the monitoring of operations sections in applicable subparts, used to measure and record (if applicable) process parameters.</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proofErr w:type="gramStart"/>
      <w:r w:rsidRPr="00C342CD">
        <w:rPr>
          <w:rFonts w:ascii="Arial" w:eastAsia="Times New Roman" w:hAnsi="Arial" w:cs="Arial"/>
          <w:i/>
          <w:iCs/>
          <w:sz w:val="14"/>
          <w:szCs w:val="14"/>
        </w:rPr>
        <w:t>Nitrogen oxides</w:t>
      </w:r>
      <w:r w:rsidRPr="00C342CD">
        <w:rPr>
          <w:rFonts w:ascii="Arial" w:eastAsia="Times New Roman" w:hAnsi="Arial" w:cs="Arial"/>
          <w:sz w:val="14"/>
          <w:szCs w:val="14"/>
        </w:rPr>
        <w:t xml:space="preserve"> means</w:t>
      </w:r>
      <w:proofErr w:type="gramEnd"/>
      <w:r w:rsidRPr="00C342CD">
        <w:rPr>
          <w:rFonts w:ascii="Arial" w:eastAsia="Times New Roman" w:hAnsi="Arial" w:cs="Arial"/>
          <w:sz w:val="14"/>
          <w:szCs w:val="14"/>
        </w:rPr>
        <w:t xml:space="preserve"> all oxides of nitrogen except nitrous oxide, as measured by test methods set forth in this part.</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i/>
          <w:iCs/>
          <w:sz w:val="14"/>
          <w:szCs w:val="14"/>
        </w:rPr>
        <w:t>One-hour period</w:t>
      </w:r>
      <w:r w:rsidRPr="00C342CD">
        <w:rPr>
          <w:rFonts w:ascii="Arial" w:eastAsia="Times New Roman" w:hAnsi="Arial" w:cs="Arial"/>
          <w:sz w:val="14"/>
          <w:szCs w:val="14"/>
        </w:rPr>
        <w:t xml:space="preserve"> means any 60-minute period commencing on the hour.</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i/>
          <w:iCs/>
          <w:sz w:val="14"/>
          <w:szCs w:val="14"/>
        </w:rPr>
        <w:t>Opacity</w:t>
      </w:r>
      <w:r w:rsidRPr="00C342CD">
        <w:rPr>
          <w:rFonts w:ascii="Arial" w:eastAsia="Times New Roman" w:hAnsi="Arial" w:cs="Arial"/>
          <w:sz w:val="14"/>
          <w:szCs w:val="14"/>
        </w:rPr>
        <w:t xml:space="preserve"> means the degree to which emissions reduce the transmission of light and obscure the view of an object in the background.</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i/>
          <w:iCs/>
          <w:sz w:val="14"/>
          <w:szCs w:val="14"/>
        </w:rPr>
        <w:t>Owner or operator</w:t>
      </w:r>
      <w:r w:rsidRPr="00C342CD">
        <w:rPr>
          <w:rFonts w:ascii="Arial" w:eastAsia="Times New Roman" w:hAnsi="Arial" w:cs="Arial"/>
          <w:sz w:val="14"/>
          <w:szCs w:val="14"/>
        </w:rPr>
        <w:t xml:space="preserve"> means any person who </w:t>
      </w:r>
      <w:proofErr w:type="gramStart"/>
      <w:r w:rsidRPr="00C342CD">
        <w:rPr>
          <w:rFonts w:ascii="Arial" w:eastAsia="Times New Roman" w:hAnsi="Arial" w:cs="Arial"/>
          <w:sz w:val="14"/>
          <w:szCs w:val="14"/>
        </w:rPr>
        <w:t>owns,</w:t>
      </w:r>
      <w:proofErr w:type="gramEnd"/>
      <w:r w:rsidRPr="00C342CD">
        <w:rPr>
          <w:rFonts w:ascii="Arial" w:eastAsia="Times New Roman" w:hAnsi="Arial" w:cs="Arial"/>
          <w:sz w:val="14"/>
          <w:szCs w:val="14"/>
        </w:rPr>
        <w:t xml:space="preserve"> leases, operates, controls, or supervises an affected facility or a stationary source of which an affected facility is a part.</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i/>
          <w:iCs/>
          <w:sz w:val="14"/>
          <w:szCs w:val="14"/>
        </w:rPr>
        <w:t>Part 70 permit</w:t>
      </w:r>
      <w:r w:rsidRPr="00C342CD">
        <w:rPr>
          <w:rFonts w:ascii="Arial" w:eastAsia="Times New Roman" w:hAnsi="Arial" w:cs="Arial"/>
          <w:sz w:val="14"/>
          <w:szCs w:val="14"/>
        </w:rPr>
        <w:t xml:space="preserve"> means any permit issued, renewed, or revised pursuant to part 70 of this chapter.</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i/>
          <w:iCs/>
          <w:sz w:val="14"/>
          <w:szCs w:val="14"/>
        </w:rPr>
        <w:t>Particulate matter</w:t>
      </w:r>
      <w:r w:rsidRPr="00C342CD">
        <w:rPr>
          <w:rFonts w:ascii="Arial" w:eastAsia="Times New Roman" w:hAnsi="Arial" w:cs="Arial"/>
          <w:sz w:val="14"/>
          <w:szCs w:val="14"/>
        </w:rPr>
        <w:t xml:space="preserve"> means any finely divided solid or liquid material, other than uncombined water, as measured by the reference methods specified under each applicable subpart, or an equivalent or alternative method.</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i/>
          <w:iCs/>
          <w:sz w:val="14"/>
          <w:szCs w:val="14"/>
        </w:rPr>
        <w:t>Permit program</w:t>
      </w:r>
      <w:r w:rsidRPr="00C342CD">
        <w:rPr>
          <w:rFonts w:ascii="Arial" w:eastAsia="Times New Roman" w:hAnsi="Arial" w:cs="Arial"/>
          <w:sz w:val="14"/>
          <w:szCs w:val="14"/>
        </w:rPr>
        <w:t xml:space="preserve"> 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i/>
          <w:iCs/>
          <w:sz w:val="14"/>
          <w:szCs w:val="14"/>
        </w:rPr>
        <w:t>Permitting authority</w:t>
      </w:r>
      <w:r w:rsidRPr="00C342CD">
        <w:rPr>
          <w:rFonts w:ascii="Arial" w:eastAsia="Times New Roman" w:hAnsi="Arial" w:cs="Arial"/>
          <w:sz w:val="14"/>
          <w:szCs w:val="14"/>
        </w:rPr>
        <w:t xml:space="preserve"> means:</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lastRenderedPageBreak/>
        <w:t>(1) The State air pollution control agency, local agency, other State agency, or other agency authorized by the Administrator to carry out a permit program under part 70 of this chapter; or</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 xml:space="preserve">(2) The Administrator, in the case of EPA-implemented </w:t>
      </w:r>
      <w:proofErr w:type="gramStart"/>
      <w:r w:rsidRPr="00C342CD">
        <w:rPr>
          <w:rFonts w:ascii="Arial" w:eastAsia="Times New Roman" w:hAnsi="Arial" w:cs="Arial"/>
          <w:sz w:val="14"/>
          <w:szCs w:val="14"/>
        </w:rPr>
        <w:t>permit</w:t>
      </w:r>
      <w:proofErr w:type="gramEnd"/>
      <w:r w:rsidRPr="00C342CD">
        <w:rPr>
          <w:rFonts w:ascii="Arial" w:eastAsia="Times New Roman" w:hAnsi="Arial" w:cs="Arial"/>
          <w:sz w:val="14"/>
          <w:szCs w:val="14"/>
        </w:rPr>
        <w:t xml:space="preserve"> programs under title V of the Act (42 U.S.C. 7661).</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i/>
          <w:iCs/>
          <w:sz w:val="14"/>
          <w:szCs w:val="14"/>
        </w:rPr>
        <w:t>Proportional sampling</w:t>
      </w:r>
      <w:r w:rsidRPr="00C342CD">
        <w:rPr>
          <w:rFonts w:ascii="Arial" w:eastAsia="Times New Roman" w:hAnsi="Arial" w:cs="Arial"/>
          <w:sz w:val="14"/>
          <w:szCs w:val="14"/>
        </w:rPr>
        <w:t xml:space="preserve"> means sampling at a rate that produces a constant ratio of sampling rate to stack gas flow rate.</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i/>
          <w:iCs/>
          <w:sz w:val="14"/>
          <w:szCs w:val="14"/>
        </w:rPr>
        <w:t>Reactivation of a very clean coal-fired electric utility steam generating unit</w:t>
      </w:r>
      <w:r w:rsidRPr="00C342CD">
        <w:rPr>
          <w:rFonts w:ascii="Arial" w:eastAsia="Times New Roman" w:hAnsi="Arial" w:cs="Arial"/>
          <w:sz w:val="14"/>
          <w:szCs w:val="14"/>
        </w:rPr>
        <w:t xml:space="preserve"> means any physical change or change in the method of operation associated with the commencement of commercial operations by a coal-fired utility unit after a period of discontinued operation where the unit:</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(1) Has not been in operation for the two-year period prior to the enactment of the Clean Air Act Amendments of 1990, and the emissions from such unit continue to be carried in the permitting authority's emissions inventory at the time of enactment;</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(2) Was equipped prior to shut-down with a continuous system of emissions control that achieves a removal efficiency for sulfur dioxide of no less than 85 percent and a removal efficiency for particulates of no less than 98 percent;</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(3) Is equipped with low-NO</w:t>
      </w:r>
      <w:r w:rsidRPr="00C342CD">
        <w:rPr>
          <w:rFonts w:ascii="Arial" w:eastAsia="Times New Roman" w:hAnsi="Arial" w:cs="Arial"/>
          <w:sz w:val="10"/>
          <w:szCs w:val="10"/>
          <w:vertAlign w:val="subscript"/>
        </w:rPr>
        <w:t>X</w:t>
      </w:r>
      <w:r w:rsidRPr="00C342CD">
        <w:rPr>
          <w:rFonts w:ascii="Arial" w:eastAsia="Times New Roman" w:hAnsi="Arial" w:cs="Arial"/>
          <w:sz w:val="14"/>
          <w:szCs w:val="14"/>
        </w:rPr>
        <w:t xml:space="preserve"> burners prior to the time of commencement of operations following reactivation; and</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(4) Is otherwise in compliance with the requirements of the Clean Air Act.</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i/>
          <w:iCs/>
          <w:sz w:val="14"/>
          <w:szCs w:val="14"/>
        </w:rPr>
        <w:t>Reference method</w:t>
      </w:r>
      <w:r w:rsidRPr="00C342CD">
        <w:rPr>
          <w:rFonts w:ascii="Arial" w:eastAsia="Times New Roman" w:hAnsi="Arial" w:cs="Arial"/>
          <w:sz w:val="14"/>
          <w:szCs w:val="14"/>
        </w:rPr>
        <w:t xml:space="preserve"> means any method of sampling and analyzing for an air pollutant as specified in the applicable subpart.</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i/>
          <w:iCs/>
          <w:sz w:val="14"/>
          <w:szCs w:val="14"/>
        </w:rPr>
        <w:t>Repowering</w:t>
      </w:r>
      <w:r w:rsidRPr="00C342CD">
        <w:rPr>
          <w:rFonts w:ascii="Arial" w:eastAsia="Times New Roman" w:hAnsi="Arial" w:cs="Arial"/>
          <w:sz w:val="14"/>
          <w:szCs w:val="14"/>
        </w:rPr>
        <w:t xml:space="preserve"> means replacement of an existing coal-fired boiler with one of the following clean coal technologies: atmospheric or pressurized fluidized bed combustion, integrated gasification combined cycle, magnetohydrodynamics, direct and indirect coal-fired turbines, integrated gasification fuel cells, or as determined by the Administrator, in consultation with the Secretary of Energy, a derivative of one or more of these technologies, and any other technology capable of controlling multiple combustion emissions simultaneously with improved boiler or generation efficiency and with significantly greater waste reduction relative to the performance of technology in widespread commercial use as of November 15, 1990. Repowering shall also include any oil and/or gas-fired unit which </w:t>
      </w:r>
      <w:proofErr w:type="gramStart"/>
      <w:r w:rsidRPr="00C342CD">
        <w:rPr>
          <w:rFonts w:ascii="Arial" w:eastAsia="Times New Roman" w:hAnsi="Arial" w:cs="Arial"/>
          <w:sz w:val="14"/>
          <w:szCs w:val="14"/>
        </w:rPr>
        <w:t>has</w:t>
      </w:r>
      <w:proofErr w:type="gramEnd"/>
      <w:r w:rsidRPr="00C342CD">
        <w:rPr>
          <w:rFonts w:ascii="Arial" w:eastAsia="Times New Roman" w:hAnsi="Arial" w:cs="Arial"/>
          <w:sz w:val="14"/>
          <w:szCs w:val="14"/>
        </w:rPr>
        <w:t xml:space="preserve"> been awarded clean coal technology demonstration funding as of January 1, 1991, by the Department of Energy.</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i/>
          <w:iCs/>
          <w:sz w:val="14"/>
          <w:szCs w:val="14"/>
        </w:rPr>
        <w:t>Run</w:t>
      </w:r>
      <w:r w:rsidRPr="00C342CD">
        <w:rPr>
          <w:rFonts w:ascii="Arial" w:eastAsia="Times New Roman" w:hAnsi="Arial" w:cs="Arial"/>
          <w:sz w:val="14"/>
          <w:szCs w:val="14"/>
        </w:rPr>
        <w:t xml:space="preserve"> means the net period of time during which an emission sample is collected. Unless otherwise specified, a run may be either intermittent or continuous within the limits of good engineering practice.</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i/>
          <w:iCs/>
          <w:sz w:val="14"/>
          <w:szCs w:val="14"/>
        </w:rPr>
        <w:t>Shutdown</w:t>
      </w:r>
      <w:r w:rsidRPr="00C342CD">
        <w:rPr>
          <w:rFonts w:ascii="Arial" w:eastAsia="Times New Roman" w:hAnsi="Arial" w:cs="Arial"/>
          <w:sz w:val="14"/>
          <w:szCs w:val="14"/>
        </w:rPr>
        <w:t xml:space="preserve"> means the cessation of operation of an affected facility for any purpose.</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i/>
          <w:iCs/>
          <w:sz w:val="14"/>
          <w:szCs w:val="14"/>
        </w:rPr>
        <w:t>Six-minute period</w:t>
      </w:r>
      <w:r w:rsidRPr="00C342CD">
        <w:rPr>
          <w:rFonts w:ascii="Arial" w:eastAsia="Times New Roman" w:hAnsi="Arial" w:cs="Arial"/>
          <w:sz w:val="14"/>
          <w:szCs w:val="14"/>
        </w:rPr>
        <w:t xml:space="preserve"> means any one of the 10 equal parts of a one-hour period.</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i/>
          <w:iCs/>
          <w:sz w:val="14"/>
          <w:szCs w:val="14"/>
        </w:rPr>
        <w:t>Standard</w:t>
      </w:r>
      <w:r w:rsidRPr="00C342CD">
        <w:rPr>
          <w:rFonts w:ascii="Arial" w:eastAsia="Times New Roman" w:hAnsi="Arial" w:cs="Arial"/>
          <w:sz w:val="14"/>
          <w:szCs w:val="14"/>
        </w:rPr>
        <w:t xml:space="preserve"> means a standard of performance proposed or promulgated under this part.</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proofErr w:type="gramStart"/>
      <w:r w:rsidRPr="00C342CD">
        <w:rPr>
          <w:rFonts w:ascii="Arial" w:eastAsia="Times New Roman" w:hAnsi="Arial" w:cs="Arial"/>
          <w:i/>
          <w:iCs/>
          <w:sz w:val="14"/>
          <w:szCs w:val="14"/>
        </w:rPr>
        <w:t>Standard conditions</w:t>
      </w:r>
      <w:r w:rsidRPr="00C342CD">
        <w:rPr>
          <w:rFonts w:ascii="Arial" w:eastAsia="Times New Roman" w:hAnsi="Arial" w:cs="Arial"/>
          <w:sz w:val="14"/>
          <w:szCs w:val="14"/>
        </w:rPr>
        <w:t xml:space="preserve"> means</w:t>
      </w:r>
      <w:proofErr w:type="gramEnd"/>
      <w:r w:rsidRPr="00C342CD">
        <w:rPr>
          <w:rFonts w:ascii="Arial" w:eastAsia="Times New Roman" w:hAnsi="Arial" w:cs="Arial"/>
          <w:sz w:val="14"/>
          <w:szCs w:val="14"/>
        </w:rPr>
        <w:t xml:space="preserve"> a temperature of 293 K (68F) and a pressure of 101.3 kilopascals (29.92 in Hg).</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i/>
          <w:iCs/>
          <w:sz w:val="14"/>
          <w:szCs w:val="14"/>
        </w:rPr>
        <w:t>Startup</w:t>
      </w:r>
      <w:r w:rsidRPr="00C342CD">
        <w:rPr>
          <w:rFonts w:ascii="Arial" w:eastAsia="Times New Roman" w:hAnsi="Arial" w:cs="Arial"/>
          <w:sz w:val="14"/>
          <w:szCs w:val="14"/>
        </w:rPr>
        <w:t xml:space="preserve"> means the setting in operation of an affected facility for any purpose.</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i/>
          <w:iCs/>
          <w:sz w:val="14"/>
          <w:szCs w:val="14"/>
        </w:rPr>
        <w:t>State</w:t>
      </w:r>
      <w:r w:rsidRPr="00C342CD">
        <w:rPr>
          <w:rFonts w:ascii="Arial" w:eastAsia="Times New Roman" w:hAnsi="Arial" w:cs="Arial"/>
          <w:sz w:val="14"/>
          <w:szCs w:val="14"/>
        </w:rPr>
        <w:t xml:space="preserve"> means all non-Federal authorities, including local agencies, interstate associations, and State-wide programs, that have delegated authority to implement: (1) The provisions of this part; and/or (2) the permit program established under part 70 of this chapter. The term State shall have its conventional meaning where clear from the context.</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i/>
          <w:iCs/>
          <w:sz w:val="14"/>
          <w:szCs w:val="14"/>
        </w:rPr>
        <w:t>Stationary source</w:t>
      </w:r>
      <w:r w:rsidRPr="00C342CD">
        <w:rPr>
          <w:rFonts w:ascii="Arial" w:eastAsia="Times New Roman" w:hAnsi="Arial" w:cs="Arial"/>
          <w:sz w:val="14"/>
          <w:szCs w:val="14"/>
        </w:rPr>
        <w:t xml:space="preserve"> means any building, structure, facility, or installation which emits or may emit any air pollutant.</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i/>
          <w:iCs/>
          <w:sz w:val="14"/>
          <w:szCs w:val="14"/>
        </w:rPr>
        <w:t>Title V permit</w:t>
      </w:r>
      <w:r w:rsidRPr="00C342CD">
        <w:rPr>
          <w:rFonts w:ascii="Arial" w:eastAsia="Times New Roman" w:hAnsi="Arial" w:cs="Arial"/>
          <w:sz w:val="14"/>
          <w:szCs w:val="14"/>
        </w:rPr>
        <w:t xml:space="preserve"> means any permit issued, renewed, or revised pursuant to Federal or State regulations established to implement title V of the Act (42 U.S.C. 7661). A title V permit issued by a State permitting authority is called a part 70 permit in this part.</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i/>
          <w:iCs/>
          <w:sz w:val="14"/>
          <w:szCs w:val="14"/>
        </w:rPr>
        <w:t>Volatile Organic Compound</w:t>
      </w:r>
      <w:r w:rsidRPr="00C342CD">
        <w:rPr>
          <w:rFonts w:ascii="Arial" w:eastAsia="Times New Roman" w:hAnsi="Arial" w:cs="Arial"/>
          <w:sz w:val="14"/>
          <w:szCs w:val="14"/>
        </w:rPr>
        <w:t xml:space="preserve"> means any organic compound which participates in atmospheric photochemical reactions; or which is measured by a reference method, an equivalent method, an alternative method, or which is determined by procedures specified under any subpart.</w:t>
      </w:r>
    </w:p>
    <w:p w:rsidR="00C342CD" w:rsidRPr="00C342CD" w:rsidRDefault="00C342CD" w:rsidP="00C342CD">
      <w:pPr>
        <w:spacing w:before="200"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[44 FR 55173, Sept. 25, 1979, as amended at 45 FR 5617, Jan. 23, 1980; 45 FR 85415, Dec. 24, 1980; 54 FR 6662, Feb. 14, 1989; 55 FR 51382, Dec. 13, 1990; 57 FR 32338, July 21, 1992; 59 FR 12427, Mar. 16, 1994; 72 FR 27442, May 16, 2007]</w:t>
      </w:r>
    </w:p>
    <w:tbl>
      <w:tblPr>
        <w:tblW w:w="5000" w:type="pct"/>
        <w:tblCellSpacing w:w="15" w:type="dxa"/>
        <w:tblBorders>
          <w:top w:val="single" w:sz="18" w:space="0" w:color="FFFFFF"/>
        </w:tblBorders>
        <w:shd w:val="clear" w:color="auto" w:fill="FFFFFF"/>
        <w:tblCellMar>
          <w:left w:w="0" w:type="dxa"/>
          <w:right w:w="0" w:type="dxa"/>
        </w:tblCellMar>
        <w:tblLook w:val="04A0"/>
      </w:tblPr>
      <w:tblGrid>
        <w:gridCol w:w="9450"/>
      </w:tblGrid>
      <w:tr w:rsidR="00C342CD" w:rsidRPr="00C342CD" w:rsidTr="00C342CD">
        <w:trPr>
          <w:tblCellSpacing w:w="15" w:type="dxa"/>
        </w:trPr>
        <w:tc>
          <w:tcPr>
            <w:tcW w:w="0" w:type="auto"/>
            <w:shd w:val="clear" w:color="auto" w:fill="FFFFFF"/>
            <w:tcMar>
              <w:top w:w="15" w:type="dxa"/>
              <w:left w:w="15" w:type="dxa"/>
              <w:bottom w:w="15" w:type="dxa"/>
              <w:right w:w="15" w:type="dxa"/>
            </w:tcMar>
            <w:hideMark/>
          </w:tcPr>
          <w:p w:rsidR="00C342CD" w:rsidRPr="00C342CD" w:rsidRDefault="00C342CD" w:rsidP="00C342CD">
            <w:pPr>
              <w:spacing w:before="200" w:after="100" w:line="240" w:lineRule="auto"/>
              <w:outlineLvl w:val="1"/>
              <w:rPr>
                <w:rFonts w:ascii="Arial" w:eastAsia="Times New Roman" w:hAnsi="Arial" w:cs="Arial"/>
                <w:b/>
                <w:bCs/>
                <w:sz w:val="14"/>
                <w:szCs w:val="14"/>
              </w:rPr>
            </w:pPr>
            <w:bookmarkStart w:id="1" w:name="40:7.0.1.1.1.1.151.3"/>
            <w:bookmarkEnd w:id="1"/>
            <w:r w:rsidRPr="00C342CD">
              <w:rPr>
                <w:rFonts w:ascii="Arial" w:eastAsia="Times New Roman" w:hAnsi="Arial" w:cs="Arial"/>
                <w:b/>
                <w:bCs/>
                <w:sz w:val="14"/>
                <w:szCs w:val="14"/>
              </w:rPr>
              <w:lastRenderedPageBreak/>
              <w:t>§ 60.3   Units and abbreviations.</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Used in this part are abbreviations and symbols of units of measure. These are defined as follows:</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(a) System International (SI) units of measure:</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A—ampere</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g—gram</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Hz—hertz</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J—joule</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K—degree Kelvin</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kg—kilogram</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m—meter</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m</w:t>
            </w:r>
            <w:r w:rsidRPr="00C342CD">
              <w:rPr>
                <w:rFonts w:ascii="Arial" w:eastAsia="Times New Roman" w:hAnsi="Arial" w:cs="Arial"/>
                <w:sz w:val="9"/>
                <w:szCs w:val="9"/>
                <w:vertAlign w:val="superscript"/>
              </w:rPr>
              <w:t>3</w:t>
            </w:r>
            <w:r w:rsidRPr="00C342CD">
              <w:rPr>
                <w:rFonts w:ascii="Arial" w:eastAsia="Times New Roman" w:hAnsi="Arial" w:cs="Arial"/>
                <w:sz w:val="13"/>
                <w:szCs w:val="13"/>
              </w:rPr>
              <w:t xml:space="preserve"> —cubic meter</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mg—milligram—10 </w:t>
            </w:r>
            <w:r w:rsidRPr="00C342CD">
              <w:rPr>
                <w:rFonts w:ascii="Arial" w:eastAsia="Times New Roman" w:hAnsi="Arial" w:cs="Arial"/>
                <w:sz w:val="9"/>
                <w:szCs w:val="9"/>
                <w:vertAlign w:val="superscript"/>
              </w:rPr>
              <w:t>−3</w:t>
            </w:r>
            <w:r w:rsidRPr="00C342CD">
              <w:rPr>
                <w:rFonts w:ascii="Arial" w:eastAsia="Times New Roman" w:hAnsi="Arial" w:cs="Arial"/>
                <w:sz w:val="13"/>
                <w:szCs w:val="13"/>
              </w:rPr>
              <w:t xml:space="preserve"> gram</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mm—millimeter—10 </w:t>
            </w:r>
            <w:r w:rsidRPr="00C342CD">
              <w:rPr>
                <w:rFonts w:ascii="Arial" w:eastAsia="Times New Roman" w:hAnsi="Arial" w:cs="Arial"/>
                <w:sz w:val="9"/>
                <w:szCs w:val="9"/>
                <w:vertAlign w:val="superscript"/>
              </w:rPr>
              <w:t>−3</w:t>
            </w:r>
            <w:r w:rsidRPr="00C342CD">
              <w:rPr>
                <w:rFonts w:ascii="Arial" w:eastAsia="Times New Roman" w:hAnsi="Arial" w:cs="Arial"/>
                <w:sz w:val="13"/>
                <w:szCs w:val="13"/>
              </w:rPr>
              <w:t xml:space="preserve"> meter</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Mg—megagram—10</w:t>
            </w:r>
            <w:r w:rsidRPr="00C342CD">
              <w:rPr>
                <w:rFonts w:ascii="Arial" w:eastAsia="Times New Roman" w:hAnsi="Arial" w:cs="Arial"/>
                <w:sz w:val="9"/>
                <w:szCs w:val="9"/>
                <w:vertAlign w:val="superscript"/>
              </w:rPr>
              <w:t>6</w:t>
            </w:r>
            <w:r w:rsidRPr="00C342CD">
              <w:rPr>
                <w:rFonts w:ascii="Arial" w:eastAsia="Times New Roman" w:hAnsi="Arial" w:cs="Arial"/>
                <w:sz w:val="13"/>
                <w:szCs w:val="13"/>
              </w:rPr>
              <w:t xml:space="preserve"> gram</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mol—mole</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N—newton</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ng—nanogram—10 </w:t>
            </w:r>
            <w:r w:rsidRPr="00C342CD">
              <w:rPr>
                <w:rFonts w:ascii="Arial" w:eastAsia="Times New Roman" w:hAnsi="Arial" w:cs="Arial"/>
                <w:sz w:val="9"/>
                <w:szCs w:val="9"/>
                <w:vertAlign w:val="superscript"/>
              </w:rPr>
              <w:t>−9</w:t>
            </w:r>
            <w:r w:rsidRPr="00C342CD">
              <w:rPr>
                <w:rFonts w:ascii="Arial" w:eastAsia="Times New Roman" w:hAnsi="Arial" w:cs="Arial"/>
                <w:sz w:val="13"/>
                <w:szCs w:val="13"/>
              </w:rPr>
              <w:t xml:space="preserve"> gram</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nm—nanometer—10 </w:t>
            </w:r>
            <w:r w:rsidRPr="00C342CD">
              <w:rPr>
                <w:rFonts w:ascii="Arial" w:eastAsia="Times New Roman" w:hAnsi="Arial" w:cs="Arial"/>
                <w:sz w:val="9"/>
                <w:szCs w:val="9"/>
                <w:vertAlign w:val="superscript"/>
              </w:rPr>
              <w:t>−9</w:t>
            </w:r>
            <w:r w:rsidRPr="00C342CD">
              <w:rPr>
                <w:rFonts w:ascii="Arial" w:eastAsia="Times New Roman" w:hAnsi="Arial" w:cs="Arial"/>
                <w:sz w:val="13"/>
                <w:szCs w:val="13"/>
              </w:rPr>
              <w:t xml:space="preserve"> meter</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Pa—pascal</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s—second</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V—volt</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W—watt</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Ω—ohm</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µg—microgram—10 </w:t>
            </w:r>
            <w:r w:rsidRPr="00C342CD">
              <w:rPr>
                <w:rFonts w:ascii="Arial" w:eastAsia="Times New Roman" w:hAnsi="Arial" w:cs="Arial"/>
                <w:sz w:val="9"/>
                <w:szCs w:val="9"/>
                <w:vertAlign w:val="superscript"/>
              </w:rPr>
              <w:t>−6</w:t>
            </w:r>
            <w:r w:rsidRPr="00C342CD">
              <w:rPr>
                <w:rFonts w:ascii="Arial" w:eastAsia="Times New Roman" w:hAnsi="Arial" w:cs="Arial"/>
                <w:sz w:val="13"/>
                <w:szCs w:val="13"/>
              </w:rPr>
              <w:t xml:space="preserve"> gram</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(b) Other units of measure:</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Btu—British thermal unit</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°C—degree Celsius (centigrade)</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cal—calorie</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cfm—cubic feet per minute</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cu ft—cubic feet</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dcf—dry cubic feet</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dcm—dry cubic meter</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lastRenderedPageBreak/>
              <w:t>dscf—dry cubic feet at standard conditions</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dscm—dry cubic meter at standard conditions</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eq—equivalent</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°F—degree Fahrenheit</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ft—feet</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gal—gallon</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gr—grain</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g-eq—gram equivalent</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hr—hour</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in—inch</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k—1,000</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l—liter</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lpm—liter per minute</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lb—pound</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meq—milliequivalent</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min—minute</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ml—milliliter</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mol. wt.—molecular weight</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ppb—parts per billion</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ppm—parts per million</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psia—pounds per square inch absolute</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psig—pounds per square inch gage</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°R—degree Rankine</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scf—cubic feet at standard conditions</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scfh—cubic feet per hour at standard conditions</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scm—cubic meter at standard conditions</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sec—second</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sq ft—square feet</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std—at standard conditions</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(c) Chemical nomenclature:</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CdS—cadmium sulfide</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CO—carbon monoxide</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CO</w:t>
            </w:r>
            <w:r w:rsidRPr="00C342CD">
              <w:rPr>
                <w:rFonts w:ascii="Arial" w:eastAsia="Times New Roman" w:hAnsi="Arial" w:cs="Arial"/>
                <w:sz w:val="9"/>
                <w:szCs w:val="9"/>
                <w:vertAlign w:val="subscript"/>
              </w:rPr>
              <w:t>2</w:t>
            </w:r>
            <w:r w:rsidRPr="00C342CD">
              <w:rPr>
                <w:rFonts w:ascii="Arial" w:eastAsia="Times New Roman" w:hAnsi="Arial" w:cs="Arial"/>
                <w:sz w:val="13"/>
                <w:szCs w:val="13"/>
              </w:rPr>
              <w:t xml:space="preserve"> —carbon dioxide</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lastRenderedPageBreak/>
              <w:t>HCl—hydrochloric acid</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Hg—mercury</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H</w:t>
            </w:r>
            <w:r w:rsidRPr="00C342CD">
              <w:rPr>
                <w:rFonts w:ascii="Arial" w:eastAsia="Times New Roman" w:hAnsi="Arial" w:cs="Arial"/>
                <w:sz w:val="9"/>
                <w:szCs w:val="9"/>
                <w:vertAlign w:val="subscript"/>
              </w:rPr>
              <w:t>2</w:t>
            </w:r>
            <w:r w:rsidRPr="00C342CD">
              <w:rPr>
                <w:rFonts w:ascii="Arial" w:eastAsia="Times New Roman" w:hAnsi="Arial" w:cs="Arial"/>
                <w:sz w:val="13"/>
                <w:szCs w:val="13"/>
              </w:rPr>
              <w:t xml:space="preserve"> O—water</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H</w:t>
            </w:r>
            <w:r w:rsidRPr="00C342CD">
              <w:rPr>
                <w:rFonts w:ascii="Arial" w:eastAsia="Times New Roman" w:hAnsi="Arial" w:cs="Arial"/>
                <w:sz w:val="9"/>
                <w:szCs w:val="9"/>
                <w:vertAlign w:val="subscript"/>
              </w:rPr>
              <w:t>2</w:t>
            </w:r>
            <w:r w:rsidRPr="00C342CD">
              <w:rPr>
                <w:rFonts w:ascii="Arial" w:eastAsia="Times New Roman" w:hAnsi="Arial" w:cs="Arial"/>
                <w:sz w:val="13"/>
                <w:szCs w:val="13"/>
              </w:rPr>
              <w:t xml:space="preserve"> S—hydrogen sulfide</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H</w:t>
            </w:r>
            <w:r w:rsidRPr="00C342CD">
              <w:rPr>
                <w:rFonts w:ascii="Arial" w:eastAsia="Times New Roman" w:hAnsi="Arial" w:cs="Arial"/>
                <w:sz w:val="9"/>
                <w:szCs w:val="9"/>
                <w:vertAlign w:val="subscript"/>
              </w:rPr>
              <w:t>2</w:t>
            </w:r>
            <w:r w:rsidRPr="00C342CD">
              <w:rPr>
                <w:rFonts w:ascii="Arial" w:eastAsia="Times New Roman" w:hAnsi="Arial" w:cs="Arial"/>
                <w:sz w:val="13"/>
                <w:szCs w:val="13"/>
              </w:rPr>
              <w:t xml:space="preserve"> SO</w:t>
            </w:r>
            <w:r w:rsidRPr="00C342CD">
              <w:rPr>
                <w:rFonts w:ascii="Arial" w:eastAsia="Times New Roman" w:hAnsi="Arial" w:cs="Arial"/>
                <w:sz w:val="9"/>
                <w:szCs w:val="9"/>
                <w:vertAlign w:val="subscript"/>
              </w:rPr>
              <w:t>4</w:t>
            </w:r>
            <w:r w:rsidRPr="00C342CD">
              <w:rPr>
                <w:rFonts w:ascii="Arial" w:eastAsia="Times New Roman" w:hAnsi="Arial" w:cs="Arial"/>
                <w:sz w:val="13"/>
                <w:szCs w:val="13"/>
              </w:rPr>
              <w:t xml:space="preserve"> —sulfuric acid</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N</w:t>
            </w:r>
            <w:r w:rsidRPr="00C342CD">
              <w:rPr>
                <w:rFonts w:ascii="Arial" w:eastAsia="Times New Roman" w:hAnsi="Arial" w:cs="Arial"/>
                <w:sz w:val="9"/>
                <w:szCs w:val="9"/>
                <w:vertAlign w:val="subscript"/>
              </w:rPr>
              <w:t>2</w:t>
            </w:r>
            <w:r w:rsidRPr="00C342CD">
              <w:rPr>
                <w:rFonts w:ascii="Arial" w:eastAsia="Times New Roman" w:hAnsi="Arial" w:cs="Arial"/>
                <w:sz w:val="13"/>
                <w:szCs w:val="13"/>
              </w:rPr>
              <w:t xml:space="preserve"> —nitrogen</w:t>
            </w:r>
          </w:p>
          <w:p w:rsidR="00C342CD" w:rsidRPr="00C342CD" w:rsidRDefault="00C342CD" w:rsidP="00C342CD">
            <w:pPr>
              <w:spacing w:before="200" w:after="100" w:line="240" w:lineRule="auto"/>
              <w:rPr>
                <w:rFonts w:ascii="Arial" w:eastAsia="Times New Roman" w:hAnsi="Arial" w:cs="Arial"/>
                <w:sz w:val="13"/>
                <w:szCs w:val="13"/>
                <w:lang w:val="es-MX"/>
              </w:rPr>
            </w:pPr>
            <w:r w:rsidRPr="00C342CD">
              <w:rPr>
                <w:rFonts w:ascii="Arial" w:eastAsia="Times New Roman" w:hAnsi="Arial" w:cs="Arial"/>
                <w:sz w:val="13"/>
                <w:szCs w:val="13"/>
                <w:lang w:val="es-MX"/>
              </w:rPr>
              <w:t>NO—nitric oxide</w:t>
            </w:r>
          </w:p>
          <w:p w:rsidR="00C342CD" w:rsidRPr="00C342CD" w:rsidRDefault="00C342CD" w:rsidP="00C342CD">
            <w:pPr>
              <w:spacing w:before="200" w:after="100" w:line="240" w:lineRule="auto"/>
              <w:rPr>
                <w:rFonts w:ascii="Arial" w:eastAsia="Times New Roman" w:hAnsi="Arial" w:cs="Arial"/>
                <w:sz w:val="13"/>
                <w:szCs w:val="13"/>
                <w:lang w:val="es-MX"/>
              </w:rPr>
            </w:pPr>
            <w:r w:rsidRPr="00C342CD">
              <w:rPr>
                <w:rFonts w:ascii="Arial" w:eastAsia="Times New Roman" w:hAnsi="Arial" w:cs="Arial"/>
                <w:sz w:val="13"/>
                <w:szCs w:val="13"/>
                <w:lang w:val="es-MX"/>
              </w:rPr>
              <w:t>NO</w:t>
            </w:r>
            <w:r w:rsidRPr="00C342CD">
              <w:rPr>
                <w:rFonts w:ascii="Arial" w:eastAsia="Times New Roman" w:hAnsi="Arial" w:cs="Arial"/>
                <w:sz w:val="9"/>
                <w:szCs w:val="9"/>
                <w:vertAlign w:val="subscript"/>
                <w:lang w:val="es-MX"/>
              </w:rPr>
              <w:t>2</w:t>
            </w:r>
            <w:r w:rsidRPr="00C342CD">
              <w:rPr>
                <w:rFonts w:ascii="Arial" w:eastAsia="Times New Roman" w:hAnsi="Arial" w:cs="Arial"/>
                <w:sz w:val="13"/>
                <w:szCs w:val="13"/>
                <w:lang w:val="es-MX"/>
              </w:rPr>
              <w:t xml:space="preserve"> —nitrogen dioxide</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NO</w:t>
            </w:r>
            <w:r w:rsidRPr="00C342CD">
              <w:rPr>
                <w:rFonts w:ascii="Arial" w:eastAsia="Times New Roman" w:hAnsi="Arial" w:cs="Arial"/>
                <w:sz w:val="9"/>
                <w:szCs w:val="9"/>
                <w:vertAlign w:val="subscript"/>
              </w:rPr>
              <w:t>X</w:t>
            </w:r>
            <w:r w:rsidRPr="00C342CD">
              <w:rPr>
                <w:rFonts w:ascii="Arial" w:eastAsia="Times New Roman" w:hAnsi="Arial" w:cs="Arial"/>
                <w:sz w:val="13"/>
                <w:szCs w:val="13"/>
              </w:rPr>
              <w:t xml:space="preserve"> —nitrogen oxides</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O</w:t>
            </w:r>
            <w:r w:rsidRPr="00C342CD">
              <w:rPr>
                <w:rFonts w:ascii="Arial" w:eastAsia="Times New Roman" w:hAnsi="Arial" w:cs="Arial"/>
                <w:sz w:val="9"/>
                <w:szCs w:val="9"/>
                <w:vertAlign w:val="subscript"/>
              </w:rPr>
              <w:t>2</w:t>
            </w:r>
            <w:r w:rsidRPr="00C342CD">
              <w:rPr>
                <w:rFonts w:ascii="Arial" w:eastAsia="Times New Roman" w:hAnsi="Arial" w:cs="Arial"/>
                <w:sz w:val="13"/>
                <w:szCs w:val="13"/>
              </w:rPr>
              <w:t xml:space="preserve"> —oxygen</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SO</w:t>
            </w:r>
            <w:r w:rsidRPr="00C342CD">
              <w:rPr>
                <w:rFonts w:ascii="Arial" w:eastAsia="Times New Roman" w:hAnsi="Arial" w:cs="Arial"/>
                <w:sz w:val="9"/>
                <w:szCs w:val="9"/>
                <w:vertAlign w:val="subscript"/>
              </w:rPr>
              <w:t>2</w:t>
            </w:r>
            <w:r w:rsidRPr="00C342CD">
              <w:rPr>
                <w:rFonts w:ascii="Arial" w:eastAsia="Times New Roman" w:hAnsi="Arial" w:cs="Arial"/>
                <w:sz w:val="13"/>
                <w:szCs w:val="13"/>
              </w:rPr>
              <w:t xml:space="preserve"> —sulfur dioxide</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SO</w:t>
            </w:r>
            <w:r w:rsidRPr="00C342CD">
              <w:rPr>
                <w:rFonts w:ascii="Arial" w:eastAsia="Times New Roman" w:hAnsi="Arial" w:cs="Arial"/>
                <w:sz w:val="9"/>
                <w:szCs w:val="9"/>
                <w:vertAlign w:val="subscript"/>
              </w:rPr>
              <w:t>3</w:t>
            </w:r>
            <w:r w:rsidRPr="00C342CD">
              <w:rPr>
                <w:rFonts w:ascii="Arial" w:eastAsia="Times New Roman" w:hAnsi="Arial" w:cs="Arial"/>
                <w:sz w:val="13"/>
                <w:szCs w:val="13"/>
              </w:rPr>
              <w:t xml:space="preserve"> —sulfur trioxide</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SO</w:t>
            </w:r>
            <w:r w:rsidRPr="00C342CD">
              <w:rPr>
                <w:rFonts w:ascii="Arial" w:eastAsia="Times New Roman" w:hAnsi="Arial" w:cs="Arial"/>
                <w:sz w:val="9"/>
                <w:szCs w:val="9"/>
                <w:vertAlign w:val="subscript"/>
              </w:rPr>
              <w:t>X</w:t>
            </w:r>
            <w:r w:rsidRPr="00C342CD">
              <w:rPr>
                <w:rFonts w:ascii="Arial" w:eastAsia="Times New Roman" w:hAnsi="Arial" w:cs="Arial"/>
                <w:sz w:val="13"/>
                <w:szCs w:val="13"/>
              </w:rPr>
              <w:t xml:space="preserve"> —sulfur oxides</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(d) Miscellaneous:</w:t>
            </w:r>
          </w:p>
          <w:p w:rsidR="00C342CD" w:rsidRPr="00C342CD" w:rsidRDefault="00C342CD" w:rsidP="00C342CD">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A.S.T.M.—American Society for Testing and Materials</w:t>
            </w:r>
          </w:p>
          <w:p w:rsidR="00C342CD" w:rsidRPr="00C342CD" w:rsidRDefault="00C342CD" w:rsidP="00C342CD">
            <w:pPr>
              <w:spacing w:before="200"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[42 FR 37000, July 19, 1977; 42 FR 38178, July 27, 1977]</w:t>
            </w:r>
          </w:p>
          <w:p w:rsidR="00C342CD" w:rsidRPr="00C342CD" w:rsidRDefault="00C342CD" w:rsidP="00C342CD">
            <w:pPr>
              <w:spacing w:before="200" w:after="100" w:line="240" w:lineRule="auto"/>
              <w:outlineLvl w:val="1"/>
              <w:rPr>
                <w:rFonts w:ascii="Arial" w:eastAsia="Times New Roman" w:hAnsi="Arial" w:cs="Arial"/>
                <w:b/>
                <w:bCs/>
                <w:sz w:val="14"/>
                <w:szCs w:val="14"/>
              </w:rPr>
            </w:pPr>
            <w:bookmarkStart w:id="2" w:name="40:7.0.1.1.1.1.151.4"/>
            <w:bookmarkEnd w:id="2"/>
            <w:proofErr w:type="gramStart"/>
            <w:r w:rsidRPr="00C342CD">
              <w:rPr>
                <w:rFonts w:ascii="Arial" w:eastAsia="Times New Roman" w:hAnsi="Arial" w:cs="Arial"/>
                <w:b/>
                <w:bCs/>
                <w:sz w:val="14"/>
                <w:szCs w:val="14"/>
              </w:rPr>
              <w:t>§ 60.4   Address</w:t>
            </w:r>
            <w:proofErr w:type="gramEnd"/>
            <w:r w:rsidRPr="00C342CD">
              <w:rPr>
                <w:rFonts w:ascii="Arial" w:eastAsia="Times New Roman" w:hAnsi="Arial" w:cs="Arial"/>
                <w:b/>
                <w:bCs/>
                <w:sz w:val="14"/>
                <w:szCs w:val="14"/>
              </w:rPr>
              <w:t>.</w:t>
            </w:r>
          </w:p>
          <w:p w:rsidR="00C342CD" w:rsidRPr="00C342CD" w:rsidRDefault="0051487C" w:rsidP="00C342CD">
            <w:pPr>
              <w:spacing w:before="100" w:beforeAutospacing="1" w:after="100" w:afterAutospacing="1" w:line="240" w:lineRule="auto"/>
              <w:jc w:val="center"/>
              <w:rPr>
                <w:rFonts w:ascii="Arial" w:eastAsia="Times New Roman" w:hAnsi="Arial" w:cs="Arial"/>
                <w:sz w:val="14"/>
                <w:szCs w:val="14"/>
              </w:rPr>
            </w:pPr>
            <w:hyperlink r:id="rId6" w:history="1">
              <w:r w:rsidR="00C342CD" w:rsidRPr="00C342CD">
                <w:rPr>
                  <w:rFonts w:ascii="Arial" w:eastAsia="Times New Roman" w:hAnsi="Arial" w:cs="Arial"/>
                  <w:color w:val="0000FF"/>
                  <w:sz w:val="12"/>
                </w:rPr>
                <w:t>Link to an amendment published at 78 FR 25187, Apr. 30, 2013.</w:t>
              </w:r>
            </w:hyperlink>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(a) All requests, reports, applications, submittals, and other communications to the Administrator pursuant to this part shall be submitted in duplicate to the appropriate Regional Office of the U.S. Environmental Protection Agency to the attention of the Director of the Division indicated in the following list of EPA Regional Offices.</w:t>
            </w:r>
          </w:p>
          <w:p w:rsidR="00C342CD" w:rsidRPr="00C342CD" w:rsidRDefault="00C342CD" w:rsidP="00C342CD">
            <w:pPr>
              <w:spacing w:before="200" w:after="100" w:line="240" w:lineRule="auto"/>
              <w:ind w:left="480" w:hanging="480"/>
              <w:rPr>
                <w:rFonts w:ascii="Arial" w:eastAsia="Times New Roman" w:hAnsi="Arial" w:cs="Arial"/>
                <w:sz w:val="13"/>
                <w:szCs w:val="13"/>
              </w:rPr>
            </w:pPr>
            <w:r w:rsidRPr="00C342CD">
              <w:rPr>
                <w:rFonts w:ascii="Arial" w:eastAsia="Times New Roman" w:hAnsi="Arial" w:cs="Arial"/>
                <w:sz w:val="13"/>
                <w:szCs w:val="13"/>
              </w:rPr>
              <w:t>Region I (Connecticut, Maine, Massachusetts, New Hampshire, Rhode Island, Vermont), Director, Office of Ecosystem Protection, U.S. Environmental Protection Agency, 5 Post Office Square—Suite 100, Boston, MA 02109-3912.</w:t>
            </w:r>
          </w:p>
          <w:p w:rsidR="00C342CD" w:rsidRPr="00C342CD" w:rsidRDefault="00C342CD" w:rsidP="00C342CD">
            <w:pPr>
              <w:spacing w:before="200" w:after="100" w:line="240" w:lineRule="auto"/>
              <w:ind w:left="480" w:hanging="480"/>
              <w:rPr>
                <w:rFonts w:ascii="Arial" w:eastAsia="Times New Roman" w:hAnsi="Arial" w:cs="Arial"/>
                <w:sz w:val="13"/>
                <w:szCs w:val="13"/>
              </w:rPr>
            </w:pPr>
            <w:r w:rsidRPr="00C342CD">
              <w:rPr>
                <w:rFonts w:ascii="Arial" w:eastAsia="Times New Roman" w:hAnsi="Arial" w:cs="Arial"/>
                <w:sz w:val="13"/>
                <w:szCs w:val="13"/>
              </w:rPr>
              <w:t>Region II (New Jersey, New York, Puerto Rico, Virgin Islands), Director, Air and Waste Management Division, U.S. Environmental Protection Agency, Federal Office Building, 26 Federal Plaza (Foley Square), New York, NY 10278.</w:t>
            </w:r>
          </w:p>
          <w:p w:rsidR="00C342CD" w:rsidRPr="00C342CD" w:rsidRDefault="00C342CD" w:rsidP="00C342CD">
            <w:pPr>
              <w:spacing w:before="200" w:after="100" w:line="240" w:lineRule="auto"/>
              <w:ind w:left="480" w:hanging="480"/>
              <w:rPr>
                <w:rFonts w:ascii="Arial" w:eastAsia="Times New Roman" w:hAnsi="Arial" w:cs="Arial"/>
                <w:sz w:val="13"/>
                <w:szCs w:val="13"/>
              </w:rPr>
            </w:pPr>
            <w:r w:rsidRPr="00C342CD">
              <w:rPr>
                <w:rFonts w:ascii="Arial" w:eastAsia="Times New Roman" w:hAnsi="Arial" w:cs="Arial"/>
                <w:sz w:val="13"/>
                <w:szCs w:val="13"/>
              </w:rPr>
              <w:t>Region III (Delaware, District of Columbia, Maryland, Pennsylvania, Virginia, West Virginia), Director, Air Protection Division, Mail Code 3AP00, 1650 Arch Street, Philadelphia, PA 19103-2029.</w:t>
            </w:r>
          </w:p>
          <w:p w:rsidR="00C342CD" w:rsidRPr="00C342CD" w:rsidRDefault="00C342CD" w:rsidP="00C342CD">
            <w:pPr>
              <w:spacing w:before="200" w:after="100" w:line="240" w:lineRule="auto"/>
              <w:ind w:left="480" w:hanging="480"/>
              <w:rPr>
                <w:rFonts w:ascii="Arial" w:eastAsia="Times New Roman" w:hAnsi="Arial" w:cs="Arial"/>
                <w:sz w:val="13"/>
                <w:szCs w:val="13"/>
              </w:rPr>
            </w:pPr>
            <w:r w:rsidRPr="00C342CD">
              <w:rPr>
                <w:rFonts w:ascii="Arial" w:eastAsia="Times New Roman" w:hAnsi="Arial" w:cs="Arial"/>
                <w:sz w:val="13"/>
                <w:szCs w:val="13"/>
              </w:rPr>
              <w:t>Region IV (Alabama, Florida, Georgia, Kentucky, Mississippi, North Carolina, South Carolina, Tennessee), Director, Air, Pesticides and Toxics Management Division, U.S. Environmental Protection Agency, 61 Forsyth St. SW., Suite 9T43, Atlanta, Georgia 30303-8960.</w:t>
            </w:r>
          </w:p>
          <w:p w:rsidR="00C342CD" w:rsidRPr="00C342CD" w:rsidRDefault="00C342CD" w:rsidP="00C342CD">
            <w:pPr>
              <w:spacing w:before="200" w:after="100" w:line="240" w:lineRule="auto"/>
              <w:ind w:left="480" w:hanging="480"/>
              <w:rPr>
                <w:rFonts w:ascii="Arial" w:eastAsia="Times New Roman" w:hAnsi="Arial" w:cs="Arial"/>
                <w:sz w:val="13"/>
                <w:szCs w:val="13"/>
              </w:rPr>
            </w:pPr>
            <w:r w:rsidRPr="00C342CD">
              <w:rPr>
                <w:rFonts w:ascii="Arial" w:eastAsia="Times New Roman" w:hAnsi="Arial" w:cs="Arial"/>
                <w:sz w:val="13"/>
                <w:szCs w:val="13"/>
              </w:rPr>
              <w:t>Region V (Illinois, Indiana, Michigan, Minnesota, Ohio, Wisconsin), Director, Air and Radiation Division, U.S. Environmental Protection Agency, 77 West Jackson Boulevard, Chicago, IL 60604-3590.</w:t>
            </w:r>
          </w:p>
          <w:p w:rsidR="00C342CD" w:rsidRPr="00C342CD" w:rsidRDefault="00C342CD" w:rsidP="00C342CD">
            <w:pPr>
              <w:spacing w:before="200" w:after="100" w:line="240" w:lineRule="auto"/>
              <w:ind w:left="480" w:hanging="480"/>
              <w:rPr>
                <w:rFonts w:ascii="Arial" w:eastAsia="Times New Roman" w:hAnsi="Arial" w:cs="Arial"/>
                <w:sz w:val="13"/>
                <w:szCs w:val="13"/>
              </w:rPr>
            </w:pPr>
            <w:r w:rsidRPr="00C342CD">
              <w:rPr>
                <w:rFonts w:ascii="Arial" w:eastAsia="Times New Roman" w:hAnsi="Arial" w:cs="Arial"/>
                <w:sz w:val="13"/>
                <w:szCs w:val="13"/>
              </w:rPr>
              <w:t>Region VI (Arkansas, Louisiana, New Mexico, Oklahoma, Texas); Director; Air, Pesticides, and Toxics Division; U.S. Environmental Protection Agency, 1445 Ross Avenue, Dallas, TX 75202.</w:t>
            </w:r>
          </w:p>
          <w:p w:rsidR="00C342CD" w:rsidRPr="00C342CD" w:rsidRDefault="00C342CD" w:rsidP="00C342CD">
            <w:pPr>
              <w:spacing w:before="200" w:after="100" w:line="240" w:lineRule="auto"/>
              <w:ind w:left="480" w:hanging="480"/>
              <w:rPr>
                <w:rFonts w:ascii="Arial" w:eastAsia="Times New Roman" w:hAnsi="Arial" w:cs="Arial"/>
                <w:sz w:val="13"/>
                <w:szCs w:val="13"/>
              </w:rPr>
            </w:pPr>
            <w:r w:rsidRPr="00C342CD">
              <w:rPr>
                <w:rFonts w:ascii="Arial" w:eastAsia="Times New Roman" w:hAnsi="Arial" w:cs="Arial"/>
                <w:sz w:val="13"/>
                <w:szCs w:val="13"/>
              </w:rPr>
              <w:t>Region VII (Iowa, Kansas, Missouri, Nebraska), Director, Air, RCRA, and Toxics Division, U.S. Environmental Protection Agency, 901 N. 5th Street, Kansas City, KS 66101.</w:t>
            </w:r>
          </w:p>
          <w:p w:rsidR="00C342CD" w:rsidRPr="00C342CD" w:rsidRDefault="00C342CD" w:rsidP="00C342CD">
            <w:pPr>
              <w:spacing w:before="200" w:after="100" w:line="240" w:lineRule="auto"/>
              <w:ind w:left="480" w:hanging="480"/>
              <w:rPr>
                <w:rFonts w:ascii="Arial" w:eastAsia="Times New Roman" w:hAnsi="Arial" w:cs="Arial"/>
                <w:sz w:val="13"/>
                <w:szCs w:val="13"/>
              </w:rPr>
            </w:pPr>
            <w:r w:rsidRPr="00C342CD">
              <w:rPr>
                <w:rFonts w:ascii="Arial" w:eastAsia="Times New Roman" w:hAnsi="Arial" w:cs="Arial"/>
                <w:sz w:val="13"/>
                <w:szCs w:val="13"/>
              </w:rPr>
              <w:t>Region VIII (Colorado, Montana, North Dakota, South Dakota, Utah, Wyoming) Director, Air and Toxics Technical Enforcement Program, Office of Enforcement, Compliance and Environmental Justice, Mail Code 8ENF-AT, 1595 Wynkoop Street, Denver, CO 80202-1129.</w:t>
            </w:r>
          </w:p>
          <w:p w:rsidR="00C342CD" w:rsidRPr="00C342CD" w:rsidRDefault="00C342CD" w:rsidP="00C342CD">
            <w:pPr>
              <w:spacing w:before="200" w:after="100" w:line="240" w:lineRule="auto"/>
              <w:ind w:left="480" w:hanging="480"/>
              <w:rPr>
                <w:rFonts w:ascii="Arial" w:eastAsia="Times New Roman" w:hAnsi="Arial" w:cs="Arial"/>
                <w:sz w:val="13"/>
                <w:szCs w:val="13"/>
              </w:rPr>
            </w:pPr>
            <w:r w:rsidRPr="00C342CD">
              <w:rPr>
                <w:rFonts w:ascii="Arial" w:eastAsia="Times New Roman" w:hAnsi="Arial" w:cs="Arial"/>
                <w:sz w:val="13"/>
                <w:szCs w:val="13"/>
              </w:rPr>
              <w:t xml:space="preserve">Region IX (Arizona, California, Hawaii and Nevada; the territories of American Samoa and Guam; the Commonwealth of the Northern Mariana Islands; the territories of Baker Island, Howland Island, Jarvis Island, Johnston Atoll, Kingman Reef, Midway Atoll, Palmyra Atoll, and Wake Islands; and certain U.S. </w:t>
            </w:r>
            <w:r w:rsidRPr="00C342CD">
              <w:rPr>
                <w:rFonts w:ascii="Arial" w:eastAsia="Times New Roman" w:hAnsi="Arial" w:cs="Arial"/>
                <w:sz w:val="13"/>
                <w:szCs w:val="13"/>
              </w:rPr>
              <w:lastRenderedPageBreak/>
              <w:t>Government activities in the freely associated states of the Republic of the Marshall Islands, the Federated States of Micronesia, and the Republic of Palau), Director, Air Division, U.S. Environmental Protection Agency, 75 Hawthorne Street, San Francisco, CA 94105.</w:t>
            </w:r>
          </w:p>
          <w:p w:rsidR="00C342CD" w:rsidRPr="00C342CD" w:rsidRDefault="00C342CD" w:rsidP="00C342CD">
            <w:pPr>
              <w:spacing w:before="200" w:after="100" w:line="240" w:lineRule="auto"/>
              <w:ind w:left="480" w:hanging="480"/>
              <w:rPr>
                <w:rFonts w:ascii="Arial" w:eastAsia="Times New Roman" w:hAnsi="Arial" w:cs="Arial"/>
                <w:sz w:val="13"/>
                <w:szCs w:val="13"/>
              </w:rPr>
            </w:pPr>
            <w:r w:rsidRPr="00C342CD">
              <w:rPr>
                <w:rFonts w:ascii="Arial" w:eastAsia="Times New Roman" w:hAnsi="Arial" w:cs="Arial"/>
                <w:sz w:val="13"/>
                <w:szCs w:val="13"/>
              </w:rPr>
              <w:t>Region X (Alaska, Oregon, Idaho, Washington), Director, Air and Waste Management Division, U.S. Environmental Protection Agency, 1200 Sixth Avenue, Seattle, WA 98101.</w:t>
            </w:r>
          </w:p>
          <w:p w:rsidR="00C342CD" w:rsidRPr="00C342CD" w:rsidRDefault="00C342CD" w:rsidP="00C342CD">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(b) Section 111(c) directs the Administrator to delegate to each State, when appropriate, the authority to implement and enforce standards of performance for new stationary sources located in such State. All information required to be submitted to EPA under paragraph (a) of this section, must also be submitted to the appropriate State Agency of any State to which this authority has been delegated (provided, that each specific delegation may except sources from a certain Federal or State reporting requirement). The appropriate mailing address for those States whose delegation request has been approved is as follows:</w:t>
            </w:r>
          </w:p>
          <w:p w:rsidR="00C342CD" w:rsidRPr="00C342CD" w:rsidRDefault="00C342CD" w:rsidP="00300CD8">
            <w:pPr>
              <w:spacing w:before="100" w:beforeAutospacing="1"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(A) [Reserved]</w:t>
            </w:r>
          </w:p>
          <w:p w:rsidR="00C342CD" w:rsidRPr="00C342CD" w:rsidRDefault="00C342CD" w:rsidP="00300CD8">
            <w:pPr>
              <w:spacing w:before="100" w:beforeAutospacing="1"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(B) State of Alabama: Alabama Department of Environmental Management, P.O. Box 301463, Montgomery, Alabama 36130-1463.</w:t>
            </w:r>
          </w:p>
          <w:p w:rsidR="00C342CD" w:rsidRPr="00C342CD" w:rsidRDefault="00C342CD" w:rsidP="00300CD8">
            <w:pPr>
              <w:spacing w:before="100" w:beforeAutospacing="1"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(C) State of Alaska, Department of Environmental Conservation, Pouch O, Juneau, AK 99811.</w:t>
            </w:r>
          </w:p>
          <w:p w:rsidR="00C342CD" w:rsidRPr="00C342CD" w:rsidRDefault="00C342CD" w:rsidP="00300CD8">
            <w:pPr>
              <w:spacing w:before="100" w:beforeAutospacing="1"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(D) Arizona:</w:t>
            </w:r>
          </w:p>
          <w:p w:rsidR="00C342CD" w:rsidRPr="00C342CD" w:rsidRDefault="00C342CD" w:rsidP="00300CD8">
            <w:pPr>
              <w:spacing w:before="200" w:after="100" w:line="240" w:lineRule="auto"/>
              <w:ind w:left="480" w:hanging="480"/>
              <w:rPr>
                <w:rFonts w:ascii="Arial" w:eastAsia="Times New Roman" w:hAnsi="Arial" w:cs="Arial"/>
                <w:sz w:val="13"/>
                <w:szCs w:val="13"/>
              </w:rPr>
            </w:pPr>
            <w:r w:rsidRPr="00C342CD">
              <w:rPr>
                <w:rFonts w:ascii="Arial" w:eastAsia="Times New Roman" w:hAnsi="Arial" w:cs="Arial"/>
                <w:sz w:val="13"/>
                <w:szCs w:val="13"/>
              </w:rPr>
              <w:t>Arizona Department of Environmental Quality, 1110 West Washington Street, Phoenix, AZ 85007.</w:t>
            </w:r>
          </w:p>
          <w:p w:rsidR="00C342CD" w:rsidRPr="00C342CD" w:rsidRDefault="00C342CD" w:rsidP="00300CD8">
            <w:pPr>
              <w:spacing w:before="200" w:after="100" w:line="240" w:lineRule="auto"/>
              <w:ind w:left="480" w:hanging="480"/>
              <w:rPr>
                <w:rFonts w:ascii="Arial" w:eastAsia="Times New Roman" w:hAnsi="Arial" w:cs="Arial"/>
                <w:sz w:val="13"/>
                <w:szCs w:val="13"/>
              </w:rPr>
            </w:pPr>
            <w:r w:rsidRPr="00C342CD">
              <w:rPr>
                <w:rFonts w:ascii="Arial" w:eastAsia="Times New Roman" w:hAnsi="Arial" w:cs="Arial"/>
                <w:sz w:val="13"/>
                <w:szCs w:val="13"/>
              </w:rPr>
              <w:t>Maricopa County Air Quality Department, 1001 North Central Avenue, Suite 900, Phoenix, AZ 85004.</w:t>
            </w:r>
          </w:p>
          <w:p w:rsidR="00C342CD" w:rsidRPr="00C342CD" w:rsidRDefault="00C342CD" w:rsidP="00300CD8">
            <w:pPr>
              <w:spacing w:before="200" w:after="100" w:line="240" w:lineRule="auto"/>
              <w:ind w:left="480" w:hanging="480"/>
              <w:rPr>
                <w:rFonts w:ascii="Arial" w:eastAsia="Times New Roman" w:hAnsi="Arial" w:cs="Arial"/>
                <w:sz w:val="13"/>
                <w:szCs w:val="13"/>
              </w:rPr>
            </w:pPr>
            <w:r w:rsidRPr="00C342CD">
              <w:rPr>
                <w:rFonts w:ascii="Arial" w:eastAsia="Times New Roman" w:hAnsi="Arial" w:cs="Arial"/>
                <w:sz w:val="13"/>
                <w:szCs w:val="13"/>
              </w:rPr>
              <w:t>Pima County Department of Environmental Quality, 33 North Stone Avenue, Suite 700, Tucson, AZ 85701.</w:t>
            </w:r>
          </w:p>
          <w:p w:rsidR="00C342CD" w:rsidRPr="00C342CD" w:rsidRDefault="00C342CD" w:rsidP="00300CD8">
            <w:pPr>
              <w:spacing w:before="200" w:after="100" w:line="240" w:lineRule="auto"/>
              <w:ind w:left="480" w:hanging="480"/>
              <w:rPr>
                <w:rFonts w:ascii="Arial" w:eastAsia="Times New Roman" w:hAnsi="Arial" w:cs="Arial"/>
                <w:sz w:val="13"/>
                <w:szCs w:val="13"/>
              </w:rPr>
            </w:pPr>
            <w:r w:rsidRPr="00C342CD">
              <w:rPr>
                <w:rFonts w:ascii="Arial" w:eastAsia="Times New Roman" w:hAnsi="Arial" w:cs="Arial"/>
                <w:sz w:val="13"/>
                <w:szCs w:val="13"/>
              </w:rPr>
              <w:t>Pinal County Air Quality Control District, 31 North Pinal Street, Building F, Florence, AZ 85132.</w:t>
            </w:r>
          </w:p>
          <w:p w:rsidR="00C342CD" w:rsidRPr="00C342CD" w:rsidRDefault="00C342CD" w:rsidP="00300CD8">
            <w:pPr>
              <w:spacing w:before="200" w:after="100" w:afterAutospacing="1" w:line="240" w:lineRule="auto"/>
              <w:rPr>
                <w:rFonts w:ascii="Arial" w:eastAsia="Times New Roman" w:hAnsi="Arial" w:cs="Arial"/>
                <w:sz w:val="13"/>
                <w:szCs w:val="13"/>
              </w:rPr>
            </w:pPr>
            <w:r w:rsidRPr="00C342CD">
              <w:rPr>
                <w:rFonts w:ascii="Arial" w:eastAsia="Times New Roman" w:hAnsi="Arial" w:cs="Arial"/>
                <w:smallCaps/>
                <w:sz w:val="13"/>
                <w:szCs w:val="13"/>
              </w:rPr>
              <w:t>Note:</w:t>
            </w:r>
            <w:r w:rsidRPr="00C342CD">
              <w:rPr>
                <w:rFonts w:ascii="Arial" w:eastAsia="Times New Roman" w:hAnsi="Arial" w:cs="Arial"/>
                <w:sz w:val="13"/>
                <w:szCs w:val="13"/>
              </w:rPr>
              <w:t xml:space="preserve"> For tables listing the delegation status of agencies in Region IX, see paragraph (d) of this section.</w:t>
            </w:r>
          </w:p>
          <w:p w:rsidR="00C342CD" w:rsidRPr="00C342CD" w:rsidRDefault="00C342CD" w:rsidP="00300CD8">
            <w:pPr>
              <w:spacing w:before="100" w:beforeAutospacing="1"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(E) State of Arkansas: Chief, Division of Air Pollution Control, Arkansas Department of Pollution Control and Ecology, 8001 National Drive, P.O. Box 9583, Little Rock, AR 72209.</w:t>
            </w:r>
          </w:p>
          <w:p w:rsidR="00C342CD" w:rsidRPr="00C342CD" w:rsidRDefault="00C342CD" w:rsidP="00243D64">
            <w:pPr>
              <w:spacing w:before="100" w:beforeAutospacing="1"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(F) California:</w:t>
            </w:r>
          </w:p>
          <w:p w:rsidR="00C342CD" w:rsidRPr="00C342CD" w:rsidRDefault="00C342CD" w:rsidP="00300CD8">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Amador County Air Pollution Control District, 12200-B Airport Road, Jackson, CA 95642.</w:t>
            </w:r>
          </w:p>
          <w:p w:rsidR="00C342CD" w:rsidRPr="00C342CD" w:rsidRDefault="00C342CD" w:rsidP="00300CD8">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Antelope Valley Air Quality Management District, 43301 Division Street, Suite 206, Lancaster, CA 93535.</w:t>
            </w:r>
          </w:p>
          <w:p w:rsidR="00C342CD" w:rsidRPr="00C342CD" w:rsidRDefault="00C342CD" w:rsidP="00300CD8">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Bay Area Air Quality Management District, 939 Ellis Street, San Francisco, CA 94109.</w:t>
            </w:r>
          </w:p>
          <w:p w:rsidR="00C342CD" w:rsidRPr="00C342CD" w:rsidRDefault="00C342CD" w:rsidP="00300CD8">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Butte County Air Quality Management District, 2525 Dominic Drive, Suite J, Chico, CA 95928.</w:t>
            </w:r>
          </w:p>
          <w:p w:rsidR="00C342CD" w:rsidRPr="00C342CD" w:rsidRDefault="00C342CD" w:rsidP="00300CD8">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Calaveras County Air Pollution Control District, 891 Mountain Ranch Road, San Andreas, CA 95249.</w:t>
            </w:r>
          </w:p>
          <w:p w:rsidR="00C342CD" w:rsidRPr="00C342CD" w:rsidRDefault="00C342CD" w:rsidP="00300CD8">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Colusa County Air Pollution Control District, 100 Sunrise Blvd., Suite A-3, Colusa, CA 95932-3246.</w:t>
            </w:r>
          </w:p>
          <w:p w:rsidR="00C342CD" w:rsidRPr="00C342CD" w:rsidRDefault="00C342CD" w:rsidP="00300CD8">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El Dorado County Air Quality Management District, 2850 Fairlane Court, Bldg. C, Placerville, CA 95667-4100.</w:t>
            </w:r>
          </w:p>
          <w:p w:rsidR="00C342CD" w:rsidRPr="00C342CD" w:rsidRDefault="00C342CD" w:rsidP="00300CD8">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Eastern Kern Air Pollution Control District, 2700 “M” Street, Suite 302, Bakersfield, CA 93301-2370.</w:t>
            </w:r>
          </w:p>
          <w:p w:rsidR="00C342CD" w:rsidRPr="00C342CD" w:rsidRDefault="00C342CD" w:rsidP="00300CD8">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Feather River Air Quality Management District, 1007 Live Oak Blvd., Suite B-3, Yuba City, CA 95991.</w:t>
            </w:r>
          </w:p>
          <w:p w:rsidR="00C342CD" w:rsidRPr="00C342CD" w:rsidRDefault="00C342CD" w:rsidP="00300CD8">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Glenn County Air Pollution Control District, 720 N. Colusa Street, P.O. Box 351, Willows, CA 95988-0351.</w:t>
            </w:r>
          </w:p>
          <w:p w:rsidR="00C342CD" w:rsidRPr="00C342CD" w:rsidRDefault="00C342CD" w:rsidP="00300CD8">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Great Basin Unified Air Pollution Control District, 157 Short Street, Suite 6, Bishop, CA 93514-3537.</w:t>
            </w:r>
          </w:p>
          <w:p w:rsidR="00C342CD" w:rsidRPr="00C342CD" w:rsidRDefault="00C342CD" w:rsidP="00300CD8">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Imperial County Air Pollution Control District, 150 South Ninth Street, El Centro, CA 92243-2801.</w:t>
            </w:r>
          </w:p>
          <w:p w:rsidR="00C342CD" w:rsidRPr="00C342CD" w:rsidRDefault="00C342CD" w:rsidP="00300CD8">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Lake County Air Quality Management District, 885 Lakeport Blvd., Lakeport, CA 95453-5405.</w:t>
            </w:r>
          </w:p>
          <w:p w:rsidR="00C342CD" w:rsidRPr="00C342CD" w:rsidRDefault="00C342CD" w:rsidP="00300CD8">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Lassen County Air Pollution Control District, 707 Nevada Street, Suite 1, Susanville, CA 96130.</w:t>
            </w:r>
          </w:p>
          <w:p w:rsidR="00C342CD" w:rsidRPr="00C342CD" w:rsidRDefault="00C342CD" w:rsidP="00300CD8">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Mariposa County Air Pollution Control District, P.O. Box 5, Mariposa, CA 95338.</w:t>
            </w:r>
          </w:p>
          <w:p w:rsidR="00C342CD" w:rsidRPr="00C342CD" w:rsidRDefault="00C342CD" w:rsidP="00300CD8">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lastRenderedPageBreak/>
              <w:t>Mendocino County Air Quality Management District, 306 E. Gobbi Street, Ukiah, CA 95482-5511.</w:t>
            </w:r>
          </w:p>
          <w:p w:rsidR="00C342CD" w:rsidRPr="00C342CD" w:rsidRDefault="00C342CD" w:rsidP="00300CD8">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Modoc County Air Pollution Control District, 619 North Main Street, Alturas, CA 96101.</w:t>
            </w:r>
          </w:p>
          <w:p w:rsidR="00C342CD" w:rsidRPr="00C342CD" w:rsidRDefault="00C342CD" w:rsidP="00300CD8">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Mojave Desert Air Quality Management District, 14306 Park Avenue, Victorville, CA 92392-2310.</w:t>
            </w:r>
          </w:p>
          <w:p w:rsidR="00C342CD" w:rsidRPr="00C342CD" w:rsidRDefault="00C342CD" w:rsidP="00300CD8">
            <w:pPr>
              <w:spacing w:before="200" w:after="100" w:line="240" w:lineRule="auto"/>
              <w:ind w:left="480" w:hanging="480"/>
              <w:rPr>
                <w:rFonts w:ascii="Arial" w:eastAsia="Times New Roman" w:hAnsi="Arial" w:cs="Arial"/>
                <w:sz w:val="13"/>
                <w:szCs w:val="13"/>
              </w:rPr>
            </w:pPr>
            <w:r w:rsidRPr="00C342CD">
              <w:rPr>
                <w:rFonts w:ascii="Arial" w:eastAsia="Times New Roman" w:hAnsi="Arial" w:cs="Arial"/>
                <w:sz w:val="13"/>
                <w:szCs w:val="13"/>
              </w:rPr>
              <w:t>Monterey Bay Unified Air Pollution Control District, 24580 Silver Cloud Court, Monterey, CA 93940.</w:t>
            </w:r>
          </w:p>
          <w:p w:rsidR="00C342CD" w:rsidRPr="00C342CD" w:rsidRDefault="00C342CD" w:rsidP="00300CD8">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 xml:space="preserve">North Coast Unified Air Quality Management District, 2300 Myrtle Avenue, Eureka, </w:t>
            </w:r>
            <w:proofErr w:type="gramStart"/>
            <w:r w:rsidRPr="00C342CD">
              <w:rPr>
                <w:rFonts w:ascii="Arial" w:eastAsia="Times New Roman" w:hAnsi="Arial" w:cs="Arial"/>
                <w:sz w:val="13"/>
                <w:szCs w:val="13"/>
              </w:rPr>
              <w:t>CA</w:t>
            </w:r>
            <w:proofErr w:type="gramEnd"/>
            <w:r w:rsidRPr="00C342CD">
              <w:rPr>
                <w:rFonts w:ascii="Arial" w:eastAsia="Times New Roman" w:hAnsi="Arial" w:cs="Arial"/>
                <w:sz w:val="13"/>
                <w:szCs w:val="13"/>
              </w:rPr>
              <w:t xml:space="preserve"> 95501-3327.</w:t>
            </w:r>
          </w:p>
          <w:p w:rsidR="00C342CD" w:rsidRPr="00C342CD" w:rsidRDefault="00C342CD" w:rsidP="00300CD8">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Northern Sierra Air Quality Management District, 200 Litton Drive, Suite 320, P.O. Box 2509, Grass Valley, CA 95945-2509.</w:t>
            </w:r>
          </w:p>
          <w:p w:rsidR="00C342CD" w:rsidRPr="00C342CD" w:rsidRDefault="00C342CD" w:rsidP="00300CD8">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Northern Sonoma County Air Pollution Control District, 150 Matheson Street, Healdsburg, CA 95448-4908.</w:t>
            </w:r>
          </w:p>
          <w:p w:rsidR="00C342CD" w:rsidRPr="00C342CD" w:rsidRDefault="00C342CD" w:rsidP="00300CD8">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Placer County Air Pollution Control District, 3091 County Center Drive, Suite 240, Auburn, CA 95603.</w:t>
            </w:r>
          </w:p>
          <w:p w:rsidR="00C342CD" w:rsidRPr="00C342CD" w:rsidRDefault="00C342CD" w:rsidP="00300CD8">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Sacramento Metropolitan Air Quality Management District, 777 12th Street, Third Floor, Sacramento, CA 95814-1908.</w:t>
            </w:r>
          </w:p>
          <w:p w:rsidR="00C342CD" w:rsidRPr="00C342CD" w:rsidRDefault="00C342CD" w:rsidP="00300CD8">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San Diego County Air Pollution Control District, 10124 Old Grove Road, San Diego, CA 92131-1649.</w:t>
            </w:r>
          </w:p>
          <w:p w:rsidR="00C342CD" w:rsidRPr="00C342CD" w:rsidRDefault="00C342CD" w:rsidP="00300CD8">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San Joaquin Valley Air Pollution Control District, 1990 E. Gettysburg, Fresno, CA 93726.</w:t>
            </w:r>
          </w:p>
          <w:p w:rsidR="00C342CD" w:rsidRPr="00C342CD" w:rsidRDefault="00C342CD" w:rsidP="00300CD8">
            <w:pPr>
              <w:spacing w:before="200" w:after="100" w:line="240" w:lineRule="auto"/>
              <w:ind w:left="480" w:hanging="480"/>
              <w:rPr>
                <w:rFonts w:ascii="Arial" w:eastAsia="Times New Roman" w:hAnsi="Arial" w:cs="Arial"/>
                <w:sz w:val="13"/>
                <w:szCs w:val="13"/>
              </w:rPr>
            </w:pPr>
            <w:r w:rsidRPr="00C342CD">
              <w:rPr>
                <w:rFonts w:ascii="Arial" w:eastAsia="Times New Roman" w:hAnsi="Arial" w:cs="Arial"/>
                <w:sz w:val="13"/>
                <w:szCs w:val="13"/>
              </w:rPr>
              <w:t>San Luis Obispo County Air Pollution Control District, 3433 Roberto Court, San Luis Obispo, CA 93401-7126.</w:t>
            </w:r>
          </w:p>
          <w:p w:rsidR="00C342CD" w:rsidRPr="00C342CD" w:rsidRDefault="00C342CD" w:rsidP="00300CD8">
            <w:pPr>
              <w:spacing w:before="200" w:after="100" w:line="240" w:lineRule="auto"/>
              <w:ind w:left="480" w:hanging="480"/>
              <w:rPr>
                <w:rFonts w:ascii="Arial" w:eastAsia="Times New Roman" w:hAnsi="Arial" w:cs="Arial"/>
                <w:sz w:val="13"/>
                <w:szCs w:val="13"/>
              </w:rPr>
            </w:pPr>
            <w:r w:rsidRPr="00C342CD">
              <w:rPr>
                <w:rFonts w:ascii="Arial" w:eastAsia="Times New Roman" w:hAnsi="Arial" w:cs="Arial"/>
                <w:sz w:val="13"/>
                <w:szCs w:val="13"/>
              </w:rPr>
              <w:t>Santa Barbara County Air Pollution Control District, 260 North San Antonio Road, Suite A, Santa Barbara, CA 93110-1315.</w:t>
            </w:r>
          </w:p>
          <w:p w:rsidR="00C342CD" w:rsidRPr="00C342CD" w:rsidRDefault="00C342CD" w:rsidP="00300CD8">
            <w:pPr>
              <w:spacing w:before="200" w:after="100" w:line="240" w:lineRule="auto"/>
              <w:ind w:left="480" w:hanging="480"/>
              <w:rPr>
                <w:rFonts w:ascii="Arial" w:eastAsia="Times New Roman" w:hAnsi="Arial" w:cs="Arial"/>
                <w:sz w:val="13"/>
                <w:szCs w:val="13"/>
              </w:rPr>
            </w:pPr>
            <w:r w:rsidRPr="00C342CD">
              <w:rPr>
                <w:rFonts w:ascii="Arial" w:eastAsia="Times New Roman" w:hAnsi="Arial" w:cs="Arial"/>
                <w:sz w:val="13"/>
                <w:szCs w:val="13"/>
              </w:rPr>
              <w:t>Shasta County Air Quality Management District, 1855 Placer Street, Suite 101, Redding, CA 96001-1759.</w:t>
            </w:r>
          </w:p>
          <w:p w:rsidR="00C342CD" w:rsidRPr="00C342CD" w:rsidRDefault="00C342CD" w:rsidP="00300CD8">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Siskiyou County Air Pollution Control District, 525 So. Foothill Drive, Yreka, CA 96097-3036.</w:t>
            </w:r>
          </w:p>
          <w:p w:rsidR="00C342CD" w:rsidRPr="00C342CD" w:rsidRDefault="00C342CD" w:rsidP="00300CD8">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South Coast Air Quality Management District, 21865 Copley Drive, Diamond Bar, CA 91765-4182.</w:t>
            </w:r>
          </w:p>
          <w:p w:rsidR="00C342CD" w:rsidRPr="00C342CD" w:rsidRDefault="00C342CD" w:rsidP="00300CD8">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Tehama County Air Pollution Control District, P.O. Box 8069 (1750 Walnut Street), Red Bluff, CA 96080-0038.</w:t>
            </w:r>
          </w:p>
          <w:p w:rsidR="00C342CD" w:rsidRPr="00C342CD" w:rsidRDefault="00C342CD" w:rsidP="00300CD8">
            <w:pPr>
              <w:spacing w:before="200" w:after="100" w:line="240" w:lineRule="auto"/>
              <w:ind w:left="480" w:hanging="480"/>
              <w:rPr>
                <w:rFonts w:ascii="Arial" w:eastAsia="Times New Roman" w:hAnsi="Arial" w:cs="Arial"/>
                <w:sz w:val="13"/>
                <w:szCs w:val="13"/>
              </w:rPr>
            </w:pPr>
            <w:r w:rsidRPr="00C342CD">
              <w:rPr>
                <w:rFonts w:ascii="Arial" w:eastAsia="Times New Roman" w:hAnsi="Arial" w:cs="Arial"/>
                <w:sz w:val="13"/>
                <w:szCs w:val="13"/>
              </w:rPr>
              <w:t>Yolo-Solano Air Quality Management District, 1947 Galileo Court, Suite 103, Davis, CA 95616-4882.</w:t>
            </w:r>
          </w:p>
          <w:p w:rsidR="00C342CD" w:rsidRPr="00C342CD" w:rsidRDefault="00C342CD" w:rsidP="00300CD8">
            <w:pPr>
              <w:spacing w:before="200" w:after="100" w:afterAutospacing="1" w:line="240" w:lineRule="auto"/>
              <w:rPr>
                <w:rFonts w:ascii="Arial" w:eastAsia="Times New Roman" w:hAnsi="Arial" w:cs="Arial"/>
                <w:sz w:val="13"/>
                <w:szCs w:val="13"/>
              </w:rPr>
            </w:pPr>
            <w:r w:rsidRPr="00C342CD">
              <w:rPr>
                <w:rFonts w:ascii="Arial" w:eastAsia="Times New Roman" w:hAnsi="Arial" w:cs="Arial"/>
                <w:smallCaps/>
                <w:sz w:val="13"/>
                <w:szCs w:val="13"/>
              </w:rPr>
              <w:t>Note:</w:t>
            </w:r>
            <w:r w:rsidRPr="00C342CD">
              <w:rPr>
                <w:rFonts w:ascii="Arial" w:eastAsia="Times New Roman" w:hAnsi="Arial" w:cs="Arial"/>
                <w:sz w:val="13"/>
                <w:szCs w:val="13"/>
              </w:rPr>
              <w:t xml:space="preserve"> For tables listing the delegation status of agencies in Region IX, see paragraph (d) of this section.</w:t>
            </w:r>
          </w:p>
          <w:p w:rsidR="00C342CD" w:rsidRPr="00C342CD" w:rsidRDefault="00C342CD" w:rsidP="00300CD8">
            <w:pPr>
              <w:spacing w:before="100" w:beforeAutospacing="1"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(G) State of Colorado, Department of Public Health and Environment, 4300 Cherry Creek Drive South, Denver, CO 80222-1530.</w:t>
            </w:r>
          </w:p>
          <w:p w:rsidR="00C342CD" w:rsidRPr="00C342CD" w:rsidRDefault="00C342CD" w:rsidP="00300CD8">
            <w:pPr>
              <w:spacing w:before="200" w:after="100" w:afterAutospacing="1" w:line="240" w:lineRule="auto"/>
              <w:rPr>
                <w:rFonts w:ascii="Arial" w:eastAsia="Times New Roman" w:hAnsi="Arial" w:cs="Arial"/>
                <w:sz w:val="13"/>
                <w:szCs w:val="13"/>
              </w:rPr>
            </w:pPr>
            <w:r w:rsidRPr="00C342CD">
              <w:rPr>
                <w:rFonts w:ascii="Arial" w:eastAsia="Times New Roman" w:hAnsi="Arial" w:cs="Arial"/>
                <w:smallCaps/>
                <w:sz w:val="13"/>
                <w:szCs w:val="13"/>
              </w:rPr>
              <w:t>Note:</w:t>
            </w:r>
            <w:r w:rsidRPr="00C342CD">
              <w:rPr>
                <w:rFonts w:ascii="Arial" w:eastAsia="Times New Roman" w:hAnsi="Arial" w:cs="Arial"/>
                <w:sz w:val="13"/>
                <w:szCs w:val="13"/>
              </w:rPr>
              <w:t xml:space="preserve"> For a table listing Region VIII's NSPS delegation status, see paragraph (c) of this section.</w:t>
            </w:r>
          </w:p>
          <w:p w:rsidR="00C342CD" w:rsidRPr="00C342CD" w:rsidRDefault="00C342CD" w:rsidP="00300CD8">
            <w:pPr>
              <w:spacing w:before="100" w:beforeAutospacing="1"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(H) State of Connecticut, Bureau of Air Management, Department of Environmental Protection, State Office Building, 165 Capitol Avenue, Hartford, CT 06106.</w:t>
            </w:r>
          </w:p>
          <w:p w:rsidR="00C342CD" w:rsidRPr="00C342CD" w:rsidRDefault="00C342CD" w:rsidP="00300CD8">
            <w:pPr>
              <w:spacing w:before="100" w:beforeAutospacing="1"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(I) State of Delaware, Department of Natural Resources &amp; Environmental Control, 89 Kings Highway, P.O. Box 1401, Dover, Delaware 19903.</w:t>
            </w:r>
          </w:p>
          <w:p w:rsidR="00C342CD" w:rsidRPr="00C342CD" w:rsidRDefault="00C342CD" w:rsidP="00300CD8">
            <w:pPr>
              <w:spacing w:before="100" w:beforeAutospacing="1"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(J) District of Columbia, Department of Public Health, Air Quality Division, 51 N Street, NE., Washington, DC 20002.</w:t>
            </w:r>
          </w:p>
          <w:p w:rsidR="00C342CD" w:rsidRPr="00C342CD" w:rsidRDefault="00C342CD" w:rsidP="00300CD8">
            <w:pPr>
              <w:spacing w:before="100" w:beforeAutospacing="1"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(K) State of Florida: Florida Department of Environmental Protection, Division of Air Resources Management, 2600 Blair Stone Road, MS 5500, Tallahassee, Florida 32399-2400.</w:t>
            </w:r>
          </w:p>
          <w:p w:rsidR="00C342CD" w:rsidRPr="00C342CD" w:rsidRDefault="00C342CD" w:rsidP="00300CD8">
            <w:pPr>
              <w:spacing w:before="100" w:beforeAutospacing="1"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(L) State of Georgia: Georgia Department of Natural Resources, Environmental Protection Division, Air Protection Branch, 4244 International Parkway, Suite 120, Atlanta, Georgia 30354.</w:t>
            </w:r>
          </w:p>
          <w:p w:rsidR="00C342CD" w:rsidRPr="00C342CD" w:rsidRDefault="00C342CD" w:rsidP="00300CD8">
            <w:pPr>
              <w:spacing w:before="100" w:beforeAutospacing="1"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(M) Hawaii:</w:t>
            </w:r>
          </w:p>
          <w:p w:rsidR="00C342CD" w:rsidRPr="00C342CD" w:rsidRDefault="00C342CD" w:rsidP="00300CD8">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 xml:space="preserve">Clean Air Branch, Hawaii Department of Health, </w:t>
            </w:r>
            <w:proofErr w:type="gramStart"/>
            <w:r w:rsidRPr="00C342CD">
              <w:rPr>
                <w:rFonts w:ascii="Arial" w:eastAsia="Times New Roman" w:hAnsi="Arial" w:cs="Arial"/>
                <w:sz w:val="13"/>
                <w:szCs w:val="13"/>
              </w:rPr>
              <w:t>919</w:t>
            </w:r>
            <w:proofErr w:type="gramEnd"/>
            <w:r w:rsidRPr="00C342CD">
              <w:rPr>
                <w:rFonts w:ascii="Arial" w:eastAsia="Times New Roman" w:hAnsi="Arial" w:cs="Arial"/>
                <w:sz w:val="13"/>
                <w:szCs w:val="13"/>
              </w:rPr>
              <w:t xml:space="preserve"> Ala Moana Blvd., Suite 203, Honolulu, HI 96814.</w:t>
            </w:r>
            <w:r w:rsidRPr="00C342CD">
              <w:rPr>
                <w:rFonts w:ascii="Arial" w:eastAsia="Times New Roman" w:hAnsi="Arial" w:cs="Arial"/>
                <w:smallCaps/>
                <w:sz w:val="13"/>
                <w:szCs w:val="13"/>
              </w:rPr>
              <w:t>Note:</w:t>
            </w:r>
            <w:r w:rsidRPr="00C342CD">
              <w:rPr>
                <w:rFonts w:ascii="Arial" w:eastAsia="Times New Roman" w:hAnsi="Arial" w:cs="Arial"/>
                <w:sz w:val="13"/>
                <w:szCs w:val="13"/>
              </w:rPr>
              <w:t xml:space="preserve"> For tables listing the delegation status of agencies in Region IX, see paragraph (d) of this section.</w:t>
            </w:r>
          </w:p>
          <w:p w:rsidR="00C342CD" w:rsidRPr="00C342CD" w:rsidRDefault="00C342CD" w:rsidP="00300CD8">
            <w:pPr>
              <w:spacing w:before="100" w:beforeAutospacing="1"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(N) State of Idaho, Department of Health and Welfare, Statehouse, Boise, ID 83701.</w:t>
            </w:r>
          </w:p>
          <w:p w:rsidR="00C342CD" w:rsidRPr="00C342CD" w:rsidRDefault="00C342CD" w:rsidP="00300CD8">
            <w:pPr>
              <w:spacing w:before="100" w:beforeAutospacing="1" w:after="100" w:afterAutospacing="1" w:line="240" w:lineRule="auto"/>
              <w:rPr>
                <w:rFonts w:ascii="Arial" w:eastAsia="Times New Roman" w:hAnsi="Arial" w:cs="Arial"/>
                <w:sz w:val="13"/>
                <w:szCs w:val="13"/>
              </w:rPr>
            </w:pPr>
            <w:r w:rsidRPr="00C342CD">
              <w:rPr>
                <w:rFonts w:ascii="Arial" w:eastAsia="Times New Roman" w:hAnsi="Arial" w:cs="Arial"/>
                <w:sz w:val="13"/>
                <w:szCs w:val="13"/>
              </w:rPr>
              <w:lastRenderedPageBreak/>
              <w:t>(O) State of Illinois: Illinois Environmental Protection Agency, 1021 North Grand Avenue East, Springfield, Illinois 62794.</w:t>
            </w:r>
          </w:p>
          <w:p w:rsidR="00C342CD" w:rsidRPr="00C342CD" w:rsidRDefault="00C342CD" w:rsidP="00300CD8">
            <w:pPr>
              <w:spacing w:before="100" w:beforeAutospacing="1"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(P) State of Indiana: Indiana Department of Environmental Management, Office of Air Quality, 100 North Senate Avenue, Indianapolis, Indiana 46204.</w:t>
            </w:r>
          </w:p>
          <w:p w:rsidR="00C342CD" w:rsidRPr="00C342CD" w:rsidRDefault="00C342CD" w:rsidP="00300CD8">
            <w:pPr>
              <w:spacing w:before="100" w:beforeAutospacing="1"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(Q) State of Iowa: Iowa Department of Natural Resources, Environmental Protection Division, Air Quality Bureau, 7900 Hickman Road, Suite 1, Urbandale, IA 50322.</w:t>
            </w:r>
          </w:p>
          <w:p w:rsidR="00C342CD" w:rsidRPr="00C342CD" w:rsidRDefault="00C342CD" w:rsidP="00300CD8">
            <w:pPr>
              <w:spacing w:before="100" w:beforeAutospacing="1"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(R) State of Kansas: Kansas Department of Health and Environment, Bureau of Air and Radiation, 1000 S.W. Jackson, Suite 310, Topeka, KS 66612-1366.</w:t>
            </w:r>
          </w:p>
          <w:p w:rsidR="00C342CD" w:rsidRPr="00C342CD" w:rsidRDefault="00C342CD" w:rsidP="00300CD8">
            <w:pPr>
              <w:spacing w:before="100" w:beforeAutospacing="1"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(S) Commonwealth of Kentucky: Commonwealth of Kentucky, Energy and Environment Cabinet, Department of Environmental Protection, Division for Air Quality, 200 Fair Oaks Lane, 1st Floor, Frankfort, Kentucky 40610-1403.</w:t>
            </w:r>
          </w:p>
          <w:p w:rsidR="00C342CD" w:rsidRPr="00C342CD" w:rsidRDefault="00C342CD" w:rsidP="00300CD8">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Louisville Metro Air Pollution Control District, 850 Barret Avenue, Louisville, Kentucky 40204.</w:t>
            </w:r>
          </w:p>
          <w:p w:rsidR="00C342CD" w:rsidRPr="00C342CD" w:rsidRDefault="00C342CD" w:rsidP="00300CD8">
            <w:pPr>
              <w:spacing w:before="100" w:beforeAutospacing="1"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(T) State Louisiana: Louisiana Department of Environmental Quality, P.O. Box 4301, Baton Rouge, Louisiana 70821-4301. For a list of delegated standards for Louisiana (excluding Indian country), see paragraph (e</w:t>
            </w:r>
            <w:proofErr w:type="gramStart"/>
            <w:r w:rsidRPr="00C342CD">
              <w:rPr>
                <w:rFonts w:ascii="Arial" w:eastAsia="Times New Roman" w:hAnsi="Arial" w:cs="Arial"/>
                <w:sz w:val="13"/>
                <w:szCs w:val="13"/>
              </w:rPr>
              <w:t>)(</w:t>
            </w:r>
            <w:proofErr w:type="gramEnd"/>
            <w:r w:rsidRPr="00C342CD">
              <w:rPr>
                <w:rFonts w:ascii="Arial" w:eastAsia="Times New Roman" w:hAnsi="Arial" w:cs="Arial"/>
                <w:sz w:val="13"/>
                <w:szCs w:val="13"/>
              </w:rPr>
              <w:t>2) of this section.</w:t>
            </w:r>
          </w:p>
          <w:p w:rsidR="00C342CD" w:rsidRPr="00C342CD" w:rsidRDefault="00C342CD" w:rsidP="00300CD8">
            <w:pPr>
              <w:spacing w:before="100" w:beforeAutospacing="1"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(U) State of Maine, Bureau of Air Quality Control, Department of Environmental Protection, State House, Station No. 17, Augusta, ME 04333.</w:t>
            </w:r>
          </w:p>
          <w:p w:rsidR="00C342CD" w:rsidRPr="00C342CD" w:rsidRDefault="00C342CD" w:rsidP="00300CD8">
            <w:pPr>
              <w:spacing w:before="100" w:beforeAutospacing="1"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(V) State of Maryland, Department of the Environment, 1800 Washington Boulevard, Suite 705, Baltimore, Maryland 21230.</w:t>
            </w:r>
          </w:p>
          <w:p w:rsidR="00C342CD" w:rsidRPr="00C342CD" w:rsidRDefault="00C342CD" w:rsidP="00300CD8">
            <w:pPr>
              <w:spacing w:before="100" w:beforeAutospacing="1"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(W) Commonwealth of Massachusetts, Division of Air Quality Control, Department of Environmental Protection, One Winter Street, 7th floor, Boston, MA 02108.</w:t>
            </w:r>
          </w:p>
          <w:p w:rsidR="00C342CD" w:rsidRPr="00C342CD" w:rsidRDefault="00C342CD" w:rsidP="00300CD8">
            <w:pPr>
              <w:spacing w:before="100" w:beforeAutospacing="1"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(X) State of Michigan: Michigan Department of Natural Resources and Environment, Air Quality Division, P.O. Box 30028, Lansing, Michigan 48909.</w:t>
            </w:r>
          </w:p>
          <w:p w:rsidR="00C342CD" w:rsidRPr="00C342CD" w:rsidRDefault="00C342CD" w:rsidP="00300CD8">
            <w:pPr>
              <w:spacing w:before="100" w:beforeAutospacing="1"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(Y) State of Minnesota: Minnesota Pollution Control Agency, Division of Air Quality, 520 Lafayette Road North, St. Paul, Minnesota 55155.</w:t>
            </w:r>
          </w:p>
          <w:p w:rsidR="00C342CD" w:rsidRPr="00C342CD" w:rsidRDefault="00C342CD" w:rsidP="00300CD8">
            <w:pPr>
              <w:spacing w:before="100" w:beforeAutospacing="1"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 xml:space="preserve">(Z) State of Mississippi: Hand Deliver or Courier: Mississippi Department of Environmental Quality, Office of Pollution Control, Air Division, 515 East Amite </w:t>
            </w:r>
            <w:proofErr w:type="gramStart"/>
            <w:r w:rsidRPr="00C342CD">
              <w:rPr>
                <w:rFonts w:ascii="Arial" w:eastAsia="Times New Roman" w:hAnsi="Arial" w:cs="Arial"/>
                <w:sz w:val="13"/>
                <w:szCs w:val="13"/>
              </w:rPr>
              <w:t>Street</w:t>
            </w:r>
            <w:proofErr w:type="gramEnd"/>
            <w:r w:rsidRPr="00C342CD">
              <w:rPr>
                <w:rFonts w:ascii="Arial" w:eastAsia="Times New Roman" w:hAnsi="Arial" w:cs="Arial"/>
                <w:sz w:val="13"/>
                <w:szCs w:val="13"/>
              </w:rPr>
              <w:t>, Jackson, Mississippi 39201, Mailing Address: Mississippi Department of Environmental Quality, Office of Pollution Control, Air Division, P.O. Box 2261, Jackson, Mississippi 39225.</w:t>
            </w:r>
          </w:p>
          <w:p w:rsidR="00C342CD" w:rsidRPr="00C342CD" w:rsidRDefault="00C342CD" w:rsidP="00300CD8">
            <w:pPr>
              <w:spacing w:before="100" w:beforeAutospacing="1"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(AA) State of Missouri: Missouri Department of Natural Resources, Division of Environmental Quality, P.O. Box 176, Jefferson City, MO 65102.</w:t>
            </w:r>
          </w:p>
          <w:p w:rsidR="00C342CD" w:rsidRPr="00C342CD" w:rsidRDefault="00C342CD" w:rsidP="00300CD8">
            <w:pPr>
              <w:spacing w:before="100" w:beforeAutospacing="1"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(BB) State of Montana, Department of Environmental Quality, 1520 E. 6th Ave., PO Box 200901, Helena, MT 59620-0901.</w:t>
            </w:r>
          </w:p>
          <w:p w:rsidR="00C342CD" w:rsidRPr="00C342CD" w:rsidRDefault="00C342CD" w:rsidP="00300CD8">
            <w:pPr>
              <w:spacing w:before="200" w:after="100" w:afterAutospacing="1" w:line="240" w:lineRule="auto"/>
              <w:rPr>
                <w:rFonts w:ascii="Arial" w:eastAsia="Times New Roman" w:hAnsi="Arial" w:cs="Arial"/>
                <w:sz w:val="13"/>
                <w:szCs w:val="13"/>
              </w:rPr>
            </w:pPr>
            <w:r w:rsidRPr="00C342CD">
              <w:rPr>
                <w:rFonts w:ascii="Arial" w:eastAsia="Times New Roman" w:hAnsi="Arial" w:cs="Arial"/>
                <w:smallCaps/>
                <w:sz w:val="13"/>
                <w:szCs w:val="13"/>
              </w:rPr>
              <w:t>Note:</w:t>
            </w:r>
            <w:r w:rsidRPr="00C342CD">
              <w:rPr>
                <w:rFonts w:ascii="Arial" w:eastAsia="Times New Roman" w:hAnsi="Arial" w:cs="Arial"/>
                <w:sz w:val="13"/>
                <w:szCs w:val="13"/>
              </w:rPr>
              <w:t xml:space="preserve"> For a table listing Region VIII's NSPS delegation status, see paragraph (c) of this section.</w:t>
            </w:r>
          </w:p>
          <w:p w:rsidR="00C342CD" w:rsidRPr="00C342CD" w:rsidRDefault="00C342CD" w:rsidP="00300CD8">
            <w:pPr>
              <w:spacing w:before="100" w:beforeAutospacing="1"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(CC) State of Nebraska, Nebraska Department of Environmental Control, P.O. Box 94877, State House Station, Lincoln, NE 68509.</w:t>
            </w:r>
          </w:p>
          <w:p w:rsidR="00C342CD" w:rsidRPr="00C342CD" w:rsidRDefault="00C342CD" w:rsidP="00300CD8">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Lincoln-Lancaster County Health Department, Division of Environmental Health, 2200 St. Marys Avenue, Lincoln, NE 68502</w:t>
            </w:r>
          </w:p>
          <w:p w:rsidR="00C342CD" w:rsidRPr="00C342CD" w:rsidRDefault="00C342CD" w:rsidP="00300CD8">
            <w:pPr>
              <w:spacing w:before="100" w:beforeAutospacing="1"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(DD) Nevada:</w:t>
            </w:r>
          </w:p>
          <w:p w:rsidR="00C342CD" w:rsidRPr="00C342CD" w:rsidRDefault="00C342CD" w:rsidP="00300CD8">
            <w:pPr>
              <w:spacing w:before="200" w:after="100" w:line="240" w:lineRule="auto"/>
              <w:rPr>
                <w:rFonts w:ascii="Arial" w:eastAsia="Times New Roman" w:hAnsi="Arial" w:cs="Arial"/>
                <w:sz w:val="13"/>
                <w:szCs w:val="13"/>
              </w:rPr>
            </w:pPr>
            <w:r w:rsidRPr="00C342CD">
              <w:rPr>
                <w:rFonts w:ascii="Arial" w:eastAsia="Times New Roman" w:hAnsi="Arial" w:cs="Arial"/>
                <w:sz w:val="13"/>
                <w:szCs w:val="13"/>
              </w:rPr>
              <w:t>Nevada Division of Environmental Protection, 901 South Stewart Street, Suite 4001, Carson City, NV 89701-5249.</w:t>
            </w:r>
          </w:p>
          <w:p w:rsidR="00C342CD" w:rsidRPr="00C342CD" w:rsidRDefault="00C342CD" w:rsidP="00C342CD">
            <w:pPr>
              <w:spacing w:before="200" w:after="100" w:line="240" w:lineRule="auto"/>
              <w:ind w:left="480" w:hanging="480"/>
              <w:jc w:val="center"/>
              <w:rPr>
                <w:rFonts w:ascii="Arial" w:eastAsia="Times New Roman" w:hAnsi="Arial" w:cs="Arial"/>
                <w:sz w:val="13"/>
                <w:szCs w:val="13"/>
              </w:rPr>
            </w:pPr>
            <w:r w:rsidRPr="00C342CD">
              <w:rPr>
                <w:rFonts w:ascii="Arial" w:eastAsia="Times New Roman" w:hAnsi="Arial" w:cs="Arial"/>
                <w:sz w:val="13"/>
                <w:szCs w:val="13"/>
              </w:rPr>
              <w:t>Clark County Department of Air Quality and Environmental Management, 500 S. Grand Central Parkway, 1st Floor, P.O. Box 555210, Las Vegas, NV 89155-5210.</w:t>
            </w:r>
          </w:p>
          <w:p w:rsidR="00C342CD" w:rsidRPr="00C342CD" w:rsidRDefault="00C342CD" w:rsidP="00300CD8">
            <w:pPr>
              <w:spacing w:before="200" w:after="100" w:line="240" w:lineRule="auto"/>
              <w:ind w:left="480" w:hanging="480"/>
              <w:rPr>
                <w:rFonts w:ascii="Arial" w:eastAsia="Times New Roman" w:hAnsi="Arial" w:cs="Arial"/>
                <w:sz w:val="13"/>
                <w:szCs w:val="13"/>
              </w:rPr>
            </w:pPr>
            <w:r w:rsidRPr="00C342CD">
              <w:rPr>
                <w:rFonts w:ascii="Arial" w:eastAsia="Times New Roman" w:hAnsi="Arial" w:cs="Arial"/>
                <w:sz w:val="13"/>
                <w:szCs w:val="13"/>
              </w:rPr>
              <w:t>Washoe County Health District, Air Quality Management Division, 1001 E. 9th Street, Building A, Suite 115A, Reno, NV 89520.</w:t>
            </w:r>
          </w:p>
          <w:p w:rsidR="00C342CD" w:rsidRPr="00C342CD" w:rsidRDefault="00C342CD" w:rsidP="00300CD8">
            <w:pPr>
              <w:spacing w:before="200" w:after="100" w:afterAutospacing="1" w:line="240" w:lineRule="auto"/>
              <w:rPr>
                <w:rFonts w:ascii="Arial" w:eastAsia="Times New Roman" w:hAnsi="Arial" w:cs="Arial"/>
                <w:sz w:val="13"/>
                <w:szCs w:val="13"/>
              </w:rPr>
            </w:pPr>
            <w:r w:rsidRPr="00C342CD">
              <w:rPr>
                <w:rFonts w:ascii="Arial" w:eastAsia="Times New Roman" w:hAnsi="Arial" w:cs="Arial"/>
                <w:smallCaps/>
                <w:sz w:val="13"/>
                <w:szCs w:val="13"/>
              </w:rPr>
              <w:t>Note:</w:t>
            </w:r>
            <w:r w:rsidRPr="00C342CD">
              <w:rPr>
                <w:rFonts w:ascii="Arial" w:eastAsia="Times New Roman" w:hAnsi="Arial" w:cs="Arial"/>
                <w:sz w:val="13"/>
                <w:szCs w:val="13"/>
              </w:rPr>
              <w:t xml:space="preserve"> For tables listing the delegation status of agencies in Region IX, see paragraph (d) of this section.</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(EE) State of New Hampshire, Air Resources Division, Department of Environmental Services, 64 North Main Street, Caller Box 2033, Concord, NH 03302-2033.</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(FF) State of New Jersey: New Jersey Department of Environmental Protection, Division of Environmental Quality, Enforcement Element, John Fitch Plaza, CN-027, Trenton, NJ 08625.</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 xml:space="preserve">(1) The following table lists the specific source and pollutant categories that have been delegated to the states in Region II. The (X) symbol is used to </w:t>
            </w:r>
            <w:r w:rsidRPr="00C342CD">
              <w:rPr>
                <w:rFonts w:ascii="Arial" w:eastAsia="Times New Roman" w:hAnsi="Arial" w:cs="Arial"/>
                <w:sz w:val="14"/>
                <w:szCs w:val="14"/>
              </w:rPr>
              <w:lastRenderedPageBreak/>
              <w:t>indicate each category that has been delegated.</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357"/>
              <w:gridCol w:w="6301"/>
              <w:gridCol w:w="677"/>
              <w:gridCol w:w="545"/>
              <w:gridCol w:w="687"/>
              <w:gridCol w:w="783"/>
            </w:tblGrid>
            <w:tr w:rsidR="00C342CD" w:rsidRPr="00C342CD" w:rsidTr="00C342CD">
              <w:trPr>
                <w:jc w:val="center"/>
              </w:trPr>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   </w:t>
                  </w:r>
                </w:p>
              </w:tc>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Subpart</w:t>
                  </w:r>
                </w:p>
              </w:tc>
              <w:tc>
                <w:tcPr>
                  <w:tcW w:w="0" w:type="auto"/>
                  <w:gridSpan w:val="4"/>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State</w:t>
                  </w:r>
                </w:p>
              </w:tc>
            </w:tr>
            <w:tr w:rsidR="00C342CD" w:rsidRPr="00C342CD" w:rsidTr="00C342CD">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342CD" w:rsidRPr="00C342CD" w:rsidRDefault="00C342CD" w:rsidP="00C342CD">
                  <w:pPr>
                    <w:spacing w:after="0" w:line="240" w:lineRule="auto"/>
                    <w:rPr>
                      <w:rFonts w:ascii="Arial" w:eastAsia="Times New Roman" w:hAnsi="Arial" w:cs="Arial"/>
                      <w:b/>
                      <w:bCs/>
                      <w:sz w:val="14"/>
                      <w:szCs w:val="1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342CD" w:rsidRPr="00C342CD" w:rsidRDefault="00C342CD" w:rsidP="00C342CD">
                  <w:pPr>
                    <w:spacing w:after="0" w:line="240" w:lineRule="auto"/>
                    <w:rPr>
                      <w:rFonts w:ascii="Arial" w:eastAsia="Times New Roman" w:hAnsi="Arial" w:cs="Arial"/>
                      <w:b/>
                      <w:bCs/>
                      <w:sz w:val="14"/>
                      <w:szCs w:val="14"/>
                    </w:rPr>
                  </w:pP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New Jersey</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New York</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Puerto Rico</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Virgin Islands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Fossil-Fuel Fired Steam Generators for Which Construction Commenced After August 17, 1971 (Steam Generators and Lignite Fired Steam Generators)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Electric Utility Steam Generating Units for Which Construction Commenced After September 18, 1978</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Industrial-Commercial-Institutional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Incinerators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Portland Cement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Nitric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Sulfuric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Asphalt Concrete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J</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Petroleum Refineries—(All Categories)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Storage Vessels for Petroleum Liquids Constructed After June 11, 1973, and prior to May 19, 1978</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Storage Vessels for Petroleum Liquids Constructed After May 18, 1978</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Secondary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Secondary Brass and Bronze Ingot Production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Iron and Steel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Sewage Treatment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Copper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Q</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Zinc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Aluminum Reduction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Wet Process 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U</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Superphosphoric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Diammonium 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Triple Superphosphate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Granular Triple Superphosphate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Coal Preparation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Z</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Ferroally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Steel Plants: Electric Arc Furnaces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Electric Arc Furnaces and Argon-Oxygen Decarburization Vessels in Steel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Kraft Pulp Mills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Glass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Grain Elevators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Surface Coating of Metal Furniture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Stationary Gas Turbines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lastRenderedPageBreak/>
                    <w:t>HH</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Lime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KK</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Lead Acid Battery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LL</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MM</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Automobile and Light-Duty Truck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NN</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Rock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PP</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Ammonium Sulfate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QQ</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Graphic Art Industry Publication Rotogravure Printing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RR</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Pressure Sensitive Tape and Label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Industrial Surface Coating: Large Appliances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TT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Metal Coil Surface Coating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UU</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Asphalt Processing and Asphalt Roofing Manufacture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VV</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Equipment Leaks of Volatile Organic Compounds in Synthetic Organic Chemical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WW</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Beverage Can Surface Coating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Bulk Gasoline Terminals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FFF</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Flexible Vinyl and Urethane Coating and Printing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GGG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Equipment Leaks of VOC in 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HHH</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Synthetic Fiber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JJJ</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Petroleum Dry Clearners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KKK</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Equipment Leaks of VOC from Onshore Natural Gas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LLL</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Onshore Natural Gas Processing Plants; SO</w:t>
                  </w:r>
                  <w:r w:rsidRPr="00C342CD">
                    <w:rPr>
                      <w:rFonts w:ascii="Arial" w:eastAsia="Times New Roman" w:hAnsi="Arial" w:cs="Arial"/>
                      <w:sz w:val="14"/>
                      <w:szCs w:val="14"/>
                      <w:vertAlign w:val="subscript"/>
                    </w:rPr>
                    <w:t>2</w:t>
                  </w:r>
                  <w:r w:rsidRPr="00C342CD">
                    <w:rPr>
                      <w:rFonts w:ascii="Arial" w:eastAsia="Times New Roman" w:hAnsi="Arial" w:cs="Arial"/>
                      <w:sz w:val="14"/>
                      <w:szCs w:val="14"/>
                    </w:rPr>
                    <w:t>Emissions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OOO</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Nonmetallic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PPP</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Wool Fiberglass Insulation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p>
              </w:tc>
            </w:tr>
          </w:tbl>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(GG) State of New Mexico: New Mexico Environment Department, 1190 St. Francis Drive, P.O. Box 26110, Santa Fe, New Mexico 87502. Note: For a list of delegated standards for New Mexico (excluding Bernalillo County and Indian country), see paragraph (e</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1) of this section.</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(i) Albuquerque-Bernalillo County Air Quality Control Board, c/o Environmental Health Department, P.O. Box 1293, Albuquerque, New Mexico 87103.</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(ii) [Reserved]</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 xml:space="preserve">(HH) New York: New York State Department of Environmental Conservation, 50 Wolf Road Albany, New York 12233, </w:t>
            </w:r>
            <w:proofErr w:type="gramStart"/>
            <w:r w:rsidRPr="00C342CD">
              <w:rPr>
                <w:rFonts w:ascii="Arial" w:eastAsia="Times New Roman" w:hAnsi="Arial" w:cs="Arial"/>
                <w:sz w:val="14"/>
                <w:szCs w:val="14"/>
              </w:rPr>
              <w:t>attention</w:t>
            </w:r>
            <w:proofErr w:type="gramEnd"/>
            <w:r w:rsidRPr="00C342CD">
              <w:rPr>
                <w:rFonts w:ascii="Arial" w:eastAsia="Times New Roman" w:hAnsi="Arial" w:cs="Arial"/>
                <w:sz w:val="14"/>
                <w:szCs w:val="14"/>
              </w:rPr>
              <w:t>: Division of Air Resources.</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(II) State of North Carolina: North Carolina Department of Environment and Natural Resources, Division of Air Quality, 1641 Mail Service Center, Raleigh, North Carolina 27699-1641 or local agencies, Forsyth County Environmental Affairs, 201 North Chestnut Street, Winston-Salem, North Carolina 27101 or Forsyth County Air Quality Section, 537 North Spruce Street, Winston-Salem, North Carolina 27101; Mecklenburg County Land Use &amp; Environmental Services Agency, Air Quality, 700 N. Tryon St., Suite 205, Charlotte, North Carolina 28202-2236; Western North Carolina Regional Air Quality Agency, 49 Mount Carmel Road, Asheville, North Carolina 28806.</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(JJ) State of North Dakota, Division of Air Quality, North Dakota Department of Health, P.O. Box 5520, Bismarck, ND 58506-5520.</w:t>
            </w:r>
          </w:p>
          <w:p w:rsidR="00C342CD" w:rsidRPr="00C342CD" w:rsidRDefault="00C342CD" w:rsidP="00300CD8">
            <w:pPr>
              <w:spacing w:before="200" w:after="100" w:afterAutospacing="1" w:line="240" w:lineRule="auto"/>
              <w:rPr>
                <w:rFonts w:ascii="Arial" w:eastAsia="Times New Roman" w:hAnsi="Arial" w:cs="Arial"/>
                <w:sz w:val="13"/>
                <w:szCs w:val="13"/>
              </w:rPr>
            </w:pPr>
            <w:r w:rsidRPr="00C342CD">
              <w:rPr>
                <w:rFonts w:ascii="Arial" w:eastAsia="Times New Roman" w:hAnsi="Arial" w:cs="Arial"/>
                <w:smallCaps/>
                <w:sz w:val="13"/>
                <w:szCs w:val="13"/>
              </w:rPr>
              <w:t>Note:</w:t>
            </w:r>
            <w:r w:rsidRPr="00C342CD">
              <w:rPr>
                <w:rFonts w:ascii="Arial" w:eastAsia="Times New Roman" w:hAnsi="Arial" w:cs="Arial"/>
                <w:sz w:val="13"/>
                <w:szCs w:val="13"/>
              </w:rPr>
              <w:t xml:space="preserve"> For a table listing Region VIII's NSPS delegation status, see paragraph (c) of this section.</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(KK) State of Ohio:</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 xml:space="preserve">(i) Medina, Summit and Portage Counties; Director, Akron Regional Air Quality Management District, 146 South High Street, Room 904, Akron, OH </w:t>
            </w:r>
            <w:r w:rsidRPr="00C342CD">
              <w:rPr>
                <w:rFonts w:ascii="Arial" w:eastAsia="Times New Roman" w:hAnsi="Arial" w:cs="Arial"/>
                <w:sz w:val="14"/>
                <w:szCs w:val="14"/>
              </w:rPr>
              <w:lastRenderedPageBreak/>
              <w:t>44308.</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(ii) Stark County; Director, Canton City Health Department, Air Pollution Control Division, 420 Market Avenue North, Canton, Ohio 44702-1544.</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(iii) Butler, Clermont, Hamilton, and Warren Counties; Director, Hamilton County Department of Environmental Services, 250 William Howard Taft Road, Cincinnati, Ohio 45219-2660.</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(iv) Cuyahoga County; Commissioner, Cleveland Department of Public Health, Division of Air Quality, 75 Erieview Plaza 2nd Floor, Cleveland, Ohio 44114.</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(v) Clark, Darke, Greene, Miami, Montgomery, and Preble Counties; Director, Regional Air Pollution Control Agency, 117 South Main Street, Dayton, Ohio 45422-1280.</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(vi) Lucas County and the City of Rossford (in Wood County); Director, City of Toledo, Division of Environmental Services, 348 South Erie Street, Toledo, OH 43604.</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(vii) Adams, Brown, Lawrence, and Scioto Counties; Portsmouth Local Air Agency, 605 Washington Street, Third Floor, Portsmouth, OH 45662.</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(viii) Allen, Ashland, Auglaize, Crawford, Defiance, Erie, Fulton, Hancock, Hardin, Henry, Huron, Marion, Mercer, Ottawa, Paulding, Putnam, Richland, Sandusky, Seneca, Van Wert Williams, Wood (Except City of Rossford), and Wyandot Counties; Ohio Environmental Protection Agency, Northwest District Office, Air Pollution Control, 347 North Dunbridge Road, Bowling Green, Ohio 43402.</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(ix) Ashtabula, Caroll, Colombiana, Holmes, Lorain, and Wayne Counties; Ohio Environmental Protection Agency, Northeast District Office, Air Pollution Unit, 2110 East Aurora Road, Twinsburg, OH 44087.</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(x) Athens, Belmont, Coshocton, Gallia, Guemsey, Harrison, Hocking, Jackson, Jefferson, Meigs, Monroe, Morgan, Muskingum, Noble, Perry, Pike, Ross, Tuscarawas, Vinton, and Washington Counties; Ohio Environmental Protection Agency, Southeast District Office, Air Pollution Unit, 2195 Front Street, Logan, OH 43138.</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(xi) Champaign, Clinton, Highland, Logan, and Shelby Counties; Ohio Environmental Protection Agency, Southwest District Office, Air Pollution Unit, 401 East Fifth Street, Dayton, Ohio 45402-2911.</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(xii) Delaware, Fairfield, Fayette, Franklin, Knox, Licking, Madison, Morrow, Pickaway, and Union Counties; Ohio Environmental Protection Agency, Central District Office, Air Pollution control, 50 West Town Street, Suite 700, Columbus, Ohio 43215.</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(xiii) Geauga and Lake Counties; Lake County General Health District, Air Pollution Control, 33 Mill Street, Painesville, OH 44077.</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(xiv) Mahoning and Trumbull Counties; Mahoning-Trumbull Air Pollution Control Agency, 345 Oak Hill Avenue, Suite 200, Youngstown, OH 44502.</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(LL) State of Oklahoma, Oklahoma State Department of Health, Air Quality Service, P.O. Box 53551, Oklahoma City, OK 73152.</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(i) Oklahoma City and County: Director, Oklahoma City-County Health Department, 921 Northeast 23rd Street, Oklahoma City, OK 73105.</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(ii) Tulsa County: Tulsa City-County Health Department, 4616 East Fifteenth Street, Tulsa, OK 74112.</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 xml:space="preserve">(MM) State of Oregon. (i) Oregon Department of Environmental Quality (ODEQ), 811 SW Sixth Avenue, Portland, OR 97204-1390, </w:t>
            </w:r>
            <w:r w:rsidRPr="00C342CD">
              <w:rPr>
                <w:rFonts w:ascii="Arial" w:eastAsia="Times New Roman" w:hAnsi="Arial" w:cs="Arial"/>
                <w:i/>
                <w:iCs/>
                <w:sz w:val="14"/>
                <w:szCs w:val="14"/>
              </w:rPr>
              <w:t>http://www.deq.state.or.us.</w:t>
            </w:r>
            <w:r w:rsidRPr="00C342CD">
              <w:rPr>
                <w:rFonts w:ascii="Arial" w:eastAsia="Times New Roman" w:hAnsi="Arial" w:cs="Arial"/>
                <w:sz w:val="14"/>
                <w:szCs w:val="14"/>
              </w:rPr>
              <w:t xml:space="preserve"> </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 xml:space="preserve">(ii) Lane Regional Air Pollution Authority (LRAPA), 1010 Main Street, Springfield, Oregon 97477, </w:t>
            </w:r>
            <w:r w:rsidRPr="00C342CD">
              <w:rPr>
                <w:rFonts w:ascii="Arial" w:eastAsia="Times New Roman" w:hAnsi="Arial" w:cs="Arial"/>
                <w:i/>
                <w:iCs/>
                <w:sz w:val="14"/>
                <w:szCs w:val="14"/>
              </w:rPr>
              <w:t>http://www.lrapa.org.</w:t>
            </w:r>
            <w:r w:rsidRPr="00C342CD">
              <w:rPr>
                <w:rFonts w:ascii="Arial" w:eastAsia="Times New Roman" w:hAnsi="Arial" w:cs="Arial"/>
                <w:sz w:val="14"/>
                <w:szCs w:val="14"/>
              </w:rPr>
              <w:t xml:space="preserve"> </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(NN)(i) City of Philadelphia, Department of Public Health, Air Management Services, 321 University Avenue, Philadelphia, Pennsylvania 19104.</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(ii) Commonwealth of Pennsylvania, Department of Environmental Protection, Bureau of Air Quality Control, P.O. Box 8468, 400 Market Street, Harrisburg, Pennsylvania 17105.</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(iii) Allegheny County Health Department, Bureau of Environmental Quality, Division of Air Quality, 301 39th Street, Pittsburgh, Pennsylvania 15201.</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lastRenderedPageBreak/>
              <w:t>(OO) State of Rhode Island, Division of Air and Hazardous Materials, Department of Environmental Management, 291 Promenade Street, Providence, RI 02908.</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(PP) State of South Carolina: South Carolina Department of Health and Environmental Control, 2600 Bull Street, Columbia, South Carolina 29201.</w:t>
            </w:r>
          </w:p>
          <w:p w:rsidR="00300CD8"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(QQ) State of South Dakota, Air Quality Program, Department of Environment and Natural Resources, Joe Foss Building, 523 East Capitol, Pierre, SD 57501-3181.</w:t>
            </w:r>
          </w:p>
          <w:p w:rsidR="00C342CD" w:rsidRPr="00300CD8"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mallCaps/>
                <w:sz w:val="13"/>
                <w:szCs w:val="13"/>
              </w:rPr>
              <w:t>Note:</w:t>
            </w:r>
            <w:r w:rsidRPr="00C342CD">
              <w:rPr>
                <w:rFonts w:ascii="Arial" w:eastAsia="Times New Roman" w:hAnsi="Arial" w:cs="Arial"/>
                <w:sz w:val="13"/>
                <w:szCs w:val="13"/>
              </w:rPr>
              <w:t xml:space="preserve"> For a table listing Region VIII's NSPS delegation status, see paragragh (c) of this section.</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(RR) State of Tennessee: Tennessee Department of Environment and Conservation, Division of Air Pollution Control, 401 Church Street, 9th Floor, L&amp;C Annex, Nashville, Tennessee 37243-1531.</w:t>
            </w:r>
          </w:p>
          <w:p w:rsidR="00C342CD" w:rsidRPr="00C342CD" w:rsidRDefault="00C342CD" w:rsidP="00300CD8">
            <w:pPr>
              <w:spacing w:before="200" w:after="100" w:line="240" w:lineRule="auto"/>
              <w:rPr>
                <w:rFonts w:ascii="Arial" w:eastAsia="Times New Roman" w:hAnsi="Arial" w:cs="Arial"/>
                <w:sz w:val="14"/>
                <w:szCs w:val="14"/>
              </w:rPr>
            </w:pPr>
            <w:r w:rsidRPr="00C342CD">
              <w:rPr>
                <w:rFonts w:ascii="Arial" w:eastAsia="Times New Roman" w:hAnsi="Arial" w:cs="Arial"/>
                <w:sz w:val="14"/>
                <w:szCs w:val="14"/>
              </w:rPr>
              <w:t>Knox County Air Quality Management—Department of Public Health, 140 Dameron Avenue, Knoxville, TN 37917.</w:t>
            </w:r>
          </w:p>
          <w:p w:rsidR="00C342CD" w:rsidRPr="00C342CD" w:rsidRDefault="00C342CD" w:rsidP="00300CD8">
            <w:pPr>
              <w:spacing w:before="200" w:after="100" w:line="240" w:lineRule="auto"/>
              <w:rPr>
                <w:rFonts w:ascii="Arial" w:eastAsia="Times New Roman" w:hAnsi="Arial" w:cs="Arial"/>
                <w:sz w:val="14"/>
                <w:szCs w:val="14"/>
              </w:rPr>
            </w:pPr>
            <w:r w:rsidRPr="00C342CD">
              <w:rPr>
                <w:rFonts w:ascii="Arial" w:eastAsia="Times New Roman" w:hAnsi="Arial" w:cs="Arial"/>
                <w:sz w:val="14"/>
                <w:szCs w:val="14"/>
              </w:rPr>
              <w:t>Air Pollution Control Bureau, Metropolitan Health Department, 311 23rd Avenue North, Nashville, TN 37203.</w:t>
            </w:r>
          </w:p>
          <w:p w:rsidR="00C342CD" w:rsidRPr="00C342CD" w:rsidRDefault="00C342CD" w:rsidP="00300CD8">
            <w:pPr>
              <w:spacing w:before="200" w:after="100" w:line="240" w:lineRule="auto"/>
              <w:rPr>
                <w:rFonts w:ascii="Arial" w:eastAsia="Times New Roman" w:hAnsi="Arial" w:cs="Arial"/>
                <w:sz w:val="14"/>
                <w:szCs w:val="14"/>
              </w:rPr>
            </w:pPr>
            <w:r w:rsidRPr="00C342CD">
              <w:rPr>
                <w:rFonts w:ascii="Arial" w:eastAsia="Times New Roman" w:hAnsi="Arial" w:cs="Arial"/>
                <w:sz w:val="14"/>
                <w:szCs w:val="14"/>
              </w:rPr>
              <w:t>Chattanooga-Hamilton County Air Pollution Control Bureau, 6125 Preservation Drive, Chattanooga, TN 37416.</w:t>
            </w:r>
          </w:p>
          <w:p w:rsidR="00C342CD" w:rsidRPr="00C342CD" w:rsidRDefault="00C342CD" w:rsidP="00300CD8">
            <w:pPr>
              <w:spacing w:before="200" w:after="100" w:line="240" w:lineRule="auto"/>
              <w:rPr>
                <w:rFonts w:ascii="Arial" w:eastAsia="Times New Roman" w:hAnsi="Arial" w:cs="Arial"/>
                <w:sz w:val="14"/>
                <w:szCs w:val="14"/>
              </w:rPr>
            </w:pPr>
            <w:r w:rsidRPr="00C342CD">
              <w:rPr>
                <w:rFonts w:ascii="Arial" w:eastAsia="Times New Roman" w:hAnsi="Arial" w:cs="Arial"/>
                <w:sz w:val="14"/>
                <w:szCs w:val="14"/>
              </w:rPr>
              <w:t>Memphis-Shelby County Health Department—Air Pollution Control Program, 814 Jefferson Avenue, Memphis, TN 38105.</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(SS) State of Texas, Texas Air Control Board, 6330 Highway 290 East, Austin, TX 78723.</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(TT) State of Utah, Division of Air Quality, Department of Environmental Quality, P.O. Box 144820, Salt Lake City, UT 84114-4820.</w:t>
            </w:r>
          </w:p>
          <w:p w:rsidR="00C342CD" w:rsidRPr="00C342CD" w:rsidRDefault="00C342CD" w:rsidP="00C342CD">
            <w:pPr>
              <w:spacing w:before="200" w:after="100" w:afterAutospacing="1" w:line="240" w:lineRule="auto"/>
              <w:ind w:firstLine="480"/>
              <w:rPr>
                <w:rFonts w:ascii="Arial" w:eastAsia="Times New Roman" w:hAnsi="Arial" w:cs="Arial"/>
                <w:sz w:val="13"/>
                <w:szCs w:val="13"/>
              </w:rPr>
            </w:pPr>
            <w:r w:rsidRPr="00C342CD">
              <w:rPr>
                <w:rFonts w:ascii="Arial" w:eastAsia="Times New Roman" w:hAnsi="Arial" w:cs="Arial"/>
                <w:smallCaps/>
                <w:sz w:val="13"/>
                <w:szCs w:val="13"/>
              </w:rPr>
              <w:t>Note:</w:t>
            </w:r>
            <w:r w:rsidRPr="00C342CD">
              <w:rPr>
                <w:rFonts w:ascii="Arial" w:eastAsia="Times New Roman" w:hAnsi="Arial" w:cs="Arial"/>
                <w:sz w:val="13"/>
                <w:szCs w:val="13"/>
              </w:rPr>
              <w:t xml:space="preserve"> For a table listing Region VIII's NSPS delegation status, see paragraph (c) of this section.</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(UU) State of Vermont, Air Pollution Control Division, Agency of Natural Resources, Building 3 South, 103 South Main Street, Waterbury, VT 05676.</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(VV) Commonwealth of Virginia, Department of Environmental Quality, 629 East Main Street, Richmond, Virginia 23219.</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(WW) </w:t>
            </w:r>
            <w:r w:rsidRPr="00C342CD">
              <w:rPr>
                <w:rFonts w:ascii="Arial" w:eastAsia="Times New Roman" w:hAnsi="Arial" w:cs="Arial"/>
                <w:i/>
                <w:iCs/>
                <w:sz w:val="14"/>
                <w:szCs w:val="14"/>
              </w:rPr>
              <w:t>State of Washington.</w:t>
            </w:r>
            <w:r w:rsidRPr="00C342CD">
              <w:rPr>
                <w:rFonts w:ascii="Arial" w:eastAsia="Times New Roman" w:hAnsi="Arial" w:cs="Arial"/>
                <w:sz w:val="14"/>
                <w:szCs w:val="14"/>
              </w:rPr>
              <w:t xml:space="preserve"> (i) Washington State Department of Ecology (Ecology), P.O. Box 47600, Olympia, WA 98504-7600, </w:t>
            </w:r>
            <w:r w:rsidRPr="00C342CD">
              <w:rPr>
                <w:rFonts w:ascii="Arial" w:eastAsia="Times New Roman" w:hAnsi="Arial" w:cs="Arial"/>
                <w:i/>
                <w:iCs/>
                <w:sz w:val="14"/>
                <w:szCs w:val="14"/>
              </w:rPr>
              <w:t>http://www.ecy.wa.gov/</w:t>
            </w:r>
            <w:r w:rsidRPr="00C342CD">
              <w:rPr>
                <w:rFonts w:ascii="Arial" w:eastAsia="Times New Roman" w:hAnsi="Arial" w:cs="Arial"/>
                <w:sz w:val="14"/>
                <w:szCs w:val="14"/>
              </w:rPr>
              <w:t xml:space="preserve"> </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(ii) Benton Clean Air Authority (BCAA), 650 George Washington Way, Richland, WA 99352-4289, </w:t>
            </w:r>
            <w:r w:rsidRPr="00C342CD">
              <w:rPr>
                <w:rFonts w:ascii="Arial" w:eastAsia="Times New Roman" w:hAnsi="Arial" w:cs="Arial"/>
                <w:i/>
                <w:iCs/>
                <w:sz w:val="14"/>
                <w:szCs w:val="14"/>
              </w:rPr>
              <w:t>http://www.bcaa.net/</w:t>
            </w:r>
            <w:r w:rsidRPr="00C342CD">
              <w:rPr>
                <w:rFonts w:ascii="Arial" w:eastAsia="Times New Roman" w:hAnsi="Arial" w:cs="Arial"/>
                <w:sz w:val="14"/>
                <w:szCs w:val="14"/>
              </w:rPr>
              <w:t xml:space="preserve"> </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(iii) Northwest Air Pollution Control Authority (NWAPA), 1600 South Second St., Mount Vernon, WA 98273-5202, </w:t>
            </w:r>
            <w:r w:rsidRPr="00C342CD">
              <w:rPr>
                <w:rFonts w:ascii="Arial" w:eastAsia="Times New Roman" w:hAnsi="Arial" w:cs="Arial"/>
                <w:i/>
                <w:iCs/>
                <w:sz w:val="14"/>
                <w:szCs w:val="14"/>
              </w:rPr>
              <w:t>http://www.nwair.org/</w:t>
            </w:r>
            <w:r w:rsidRPr="00C342CD">
              <w:rPr>
                <w:rFonts w:ascii="Arial" w:eastAsia="Times New Roman" w:hAnsi="Arial" w:cs="Arial"/>
                <w:sz w:val="14"/>
                <w:szCs w:val="14"/>
              </w:rPr>
              <w:t xml:space="preserve"> </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(iv) Olympic Regional Clean Air Agency (ORCAA), 909 Sleater-Kinney Road S.E., Suite 1, Lacey, WA 98503-1128, </w:t>
            </w:r>
            <w:r w:rsidRPr="00C342CD">
              <w:rPr>
                <w:rFonts w:ascii="Arial" w:eastAsia="Times New Roman" w:hAnsi="Arial" w:cs="Arial"/>
                <w:i/>
                <w:iCs/>
                <w:sz w:val="14"/>
                <w:szCs w:val="14"/>
              </w:rPr>
              <w:t>http://www.orcaa.org/</w:t>
            </w:r>
            <w:r w:rsidRPr="00C342CD">
              <w:rPr>
                <w:rFonts w:ascii="Arial" w:eastAsia="Times New Roman" w:hAnsi="Arial" w:cs="Arial"/>
                <w:sz w:val="14"/>
                <w:szCs w:val="14"/>
              </w:rPr>
              <w:t xml:space="preserve"> </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(v) Puget Sound Clean Air Agency (PSCAA), 110 Union Street, Suite 500, Seattle, WA 98101-2038, </w:t>
            </w:r>
            <w:r w:rsidRPr="00C342CD">
              <w:rPr>
                <w:rFonts w:ascii="Arial" w:eastAsia="Times New Roman" w:hAnsi="Arial" w:cs="Arial"/>
                <w:i/>
                <w:iCs/>
                <w:sz w:val="14"/>
                <w:szCs w:val="14"/>
              </w:rPr>
              <w:t>http://www.pscleanair.org/</w:t>
            </w:r>
            <w:r w:rsidRPr="00C342CD">
              <w:rPr>
                <w:rFonts w:ascii="Arial" w:eastAsia="Times New Roman" w:hAnsi="Arial" w:cs="Arial"/>
                <w:sz w:val="14"/>
                <w:szCs w:val="14"/>
              </w:rPr>
              <w:t xml:space="preserve"> </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(vi) Spokane County Air Pollution Control Authority (SCAPCA), West 1101 College, Suite 403, Spokane, WA 99201, </w:t>
            </w:r>
            <w:r w:rsidRPr="00C342CD">
              <w:rPr>
                <w:rFonts w:ascii="Arial" w:eastAsia="Times New Roman" w:hAnsi="Arial" w:cs="Arial"/>
                <w:i/>
                <w:iCs/>
                <w:sz w:val="14"/>
                <w:szCs w:val="14"/>
              </w:rPr>
              <w:t>http://www.scapca.org/</w:t>
            </w:r>
            <w:r w:rsidRPr="00C342CD">
              <w:rPr>
                <w:rFonts w:ascii="Arial" w:eastAsia="Times New Roman" w:hAnsi="Arial" w:cs="Arial"/>
                <w:sz w:val="14"/>
                <w:szCs w:val="14"/>
              </w:rPr>
              <w:t xml:space="preserve"> </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(vii) Southwest Clean Air Agency (SWCAA), 1308 NE. 134th St., Vancouver, WA 98685-2747, </w:t>
            </w:r>
            <w:r w:rsidRPr="00C342CD">
              <w:rPr>
                <w:rFonts w:ascii="Arial" w:eastAsia="Times New Roman" w:hAnsi="Arial" w:cs="Arial"/>
                <w:i/>
                <w:iCs/>
                <w:sz w:val="14"/>
                <w:szCs w:val="14"/>
              </w:rPr>
              <w:t>http://www.swcleanair.org/</w:t>
            </w:r>
            <w:r w:rsidRPr="00C342CD">
              <w:rPr>
                <w:rFonts w:ascii="Arial" w:eastAsia="Times New Roman" w:hAnsi="Arial" w:cs="Arial"/>
                <w:sz w:val="14"/>
                <w:szCs w:val="14"/>
              </w:rPr>
              <w:t xml:space="preserve"> </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(viii) Yakima Regional Clean Air Authority (YRCAA), 6 South 2nd Street, Suite 1016, Yakima, WA 98901, </w:t>
            </w:r>
            <w:r w:rsidRPr="00C342CD">
              <w:rPr>
                <w:rFonts w:ascii="Arial" w:eastAsia="Times New Roman" w:hAnsi="Arial" w:cs="Arial"/>
                <w:i/>
                <w:iCs/>
                <w:sz w:val="14"/>
                <w:szCs w:val="14"/>
              </w:rPr>
              <w:t>http://co.yakima.wa.us/cleanair/default.htm</w:t>
            </w:r>
            <w:r w:rsidRPr="00C342CD">
              <w:rPr>
                <w:rFonts w:ascii="Arial" w:eastAsia="Times New Roman" w:hAnsi="Arial" w:cs="Arial"/>
                <w:sz w:val="14"/>
                <w:szCs w:val="14"/>
              </w:rPr>
              <w:t xml:space="preserve"> </w:t>
            </w:r>
          </w:p>
          <w:p w:rsid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(ix) The following table lists the delegation status of the New Source Performance Standards for the State of Washington. An “X” indicates the subpart has been delegated, subject to all the conditions and limitations set forth in Federal law and the letters granting delegation. Some authorities cannot be delegated and are retained by EPA. Refer to the letters granting delegation for a discussion of these retained authorities. The dates noted at the end of the table indicate the effective dates of Federal rules that have been delegated. Authority for implementing and enforcing any amendments made to these rules after these effective dates are not delegated.</w:t>
            </w:r>
          </w:p>
          <w:p w:rsidR="00243D64" w:rsidRDefault="00243D64" w:rsidP="00C342CD">
            <w:pPr>
              <w:spacing w:before="100" w:beforeAutospacing="1" w:after="100" w:afterAutospacing="1" w:line="240" w:lineRule="auto"/>
              <w:ind w:firstLine="480"/>
              <w:jc w:val="center"/>
              <w:rPr>
                <w:rFonts w:ascii="Arial" w:eastAsia="Times New Roman" w:hAnsi="Arial" w:cs="Arial"/>
                <w:sz w:val="14"/>
                <w:szCs w:val="14"/>
              </w:rPr>
            </w:pPr>
          </w:p>
          <w:p w:rsidR="00243D64" w:rsidRPr="00C342CD" w:rsidRDefault="00243D64" w:rsidP="00C342CD">
            <w:pPr>
              <w:spacing w:before="100" w:beforeAutospacing="1" w:after="100" w:afterAutospacing="1" w:line="240" w:lineRule="auto"/>
              <w:ind w:firstLine="480"/>
              <w:jc w:val="center"/>
              <w:rPr>
                <w:rFonts w:ascii="Arial" w:eastAsia="Times New Roman" w:hAnsi="Arial" w:cs="Arial"/>
                <w:sz w:val="14"/>
                <w:szCs w:val="14"/>
              </w:rPr>
            </w:pP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b/>
                <w:bCs/>
                <w:smallCaps/>
                <w:sz w:val="14"/>
                <w:szCs w:val="14"/>
              </w:rPr>
            </w:pPr>
            <w:r w:rsidRPr="00C342CD">
              <w:rPr>
                <w:rFonts w:ascii="Arial" w:eastAsia="Times New Roman" w:hAnsi="Arial" w:cs="Arial"/>
                <w:b/>
                <w:bCs/>
                <w:smallCaps/>
                <w:sz w:val="14"/>
                <w:szCs w:val="14"/>
              </w:rPr>
              <w:t>NSPS Subparts Delegated to Washington Air Agencies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4295"/>
              <w:gridCol w:w="664"/>
              <w:gridCol w:w="524"/>
              <w:gridCol w:w="648"/>
              <w:gridCol w:w="633"/>
              <w:gridCol w:w="610"/>
              <w:gridCol w:w="711"/>
              <w:gridCol w:w="648"/>
              <w:gridCol w:w="617"/>
            </w:tblGrid>
            <w:tr w:rsidR="00C342CD" w:rsidRPr="00C342CD" w:rsidTr="00C342CD">
              <w:trPr>
                <w:jc w:val="center"/>
              </w:trPr>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Subpart </w:t>
                  </w:r>
                  <w:r w:rsidRPr="00C342CD">
                    <w:rPr>
                      <w:rFonts w:ascii="Arial" w:eastAsia="Times New Roman" w:hAnsi="Arial" w:cs="Arial"/>
                      <w:b/>
                      <w:bCs/>
                      <w:sz w:val="14"/>
                      <w:szCs w:val="14"/>
                      <w:vertAlign w:val="superscript"/>
                    </w:rPr>
                    <w:t>1</w:t>
                  </w:r>
                </w:p>
              </w:tc>
              <w:tc>
                <w:tcPr>
                  <w:tcW w:w="0" w:type="auto"/>
                  <w:gridSpan w:val="8"/>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Washington</w:t>
                  </w:r>
                </w:p>
              </w:tc>
            </w:tr>
            <w:tr w:rsidR="00C342CD" w:rsidRPr="00C342CD" w:rsidTr="00C342CD">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342CD" w:rsidRPr="00C342CD" w:rsidRDefault="00C342CD" w:rsidP="00C342CD">
                  <w:pPr>
                    <w:spacing w:after="0" w:line="240" w:lineRule="auto"/>
                    <w:rPr>
                      <w:rFonts w:ascii="Arial" w:eastAsia="Times New Roman" w:hAnsi="Arial" w:cs="Arial"/>
                      <w:b/>
                      <w:bCs/>
                      <w:sz w:val="14"/>
                      <w:szCs w:val="14"/>
                    </w:rPr>
                  </w:pP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Ecology </w:t>
                  </w:r>
                  <w:r w:rsidRPr="00C342CD">
                    <w:rPr>
                      <w:rFonts w:ascii="Arial" w:eastAsia="Times New Roman" w:hAnsi="Arial" w:cs="Arial"/>
                      <w:b/>
                      <w:bCs/>
                      <w:sz w:val="14"/>
                      <w:szCs w:val="14"/>
                      <w:vertAlign w:val="superscript"/>
                    </w:rPr>
                    <w:t>2</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BCAA </w:t>
                  </w:r>
                  <w:r w:rsidRPr="00C342CD">
                    <w:rPr>
                      <w:rFonts w:ascii="Arial" w:eastAsia="Times New Roman" w:hAnsi="Arial" w:cs="Arial"/>
                      <w:b/>
                      <w:bCs/>
                      <w:sz w:val="14"/>
                      <w:szCs w:val="14"/>
                      <w:vertAlign w:val="superscript"/>
                    </w:rPr>
                    <w:t>3</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NWAPA </w:t>
                  </w:r>
                  <w:r w:rsidRPr="00C342CD">
                    <w:rPr>
                      <w:rFonts w:ascii="Arial" w:eastAsia="Times New Roman" w:hAnsi="Arial" w:cs="Arial"/>
                      <w:b/>
                      <w:bCs/>
                      <w:sz w:val="14"/>
                      <w:szCs w:val="14"/>
                      <w:vertAlign w:val="superscript"/>
                    </w:rPr>
                    <w:t>4</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ORCAA </w:t>
                  </w:r>
                  <w:r w:rsidRPr="00C342CD">
                    <w:rPr>
                      <w:rFonts w:ascii="Arial" w:eastAsia="Times New Roman" w:hAnsi="Arial" w:cs="Arial"/>
                      <w:b/>
                      <w:bCs/>
                      <w:sz w:val="14"/>
                      <w:szCs w:val="14"/>
                      <w:vertAlign w:val="superscript"/>
                    </w:rPr>
                    <w:t>5</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PSCAA </w:t>
                  </w:r>
                  <w:r w:rsidRPr="00C342CD">
                    <w:rPr>
                      <w:rFonts w:ascii="Arial" w:eastAsia="Times New Roman" w:hAnsi="Arial" w:cs="Arial"/>
                      <w:b/>
                      <w:bCs/>
                      <w:sz w:val="14"/>
                      <w:szCs w:val="14"/>
                      <w:vertAlign w:val="superscript"/>
                    </w:rPr>
                    <w:t>6</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SCAPCA </w:t>
                  </w:r>
                  <w:r w:rsidRPr="00C342CD">
                    <w:rPr>
                      <w:rFonts w:ascii="Arial" w:eastAsia="Times New Roman" w:hAnsi="Arial" w:cs="Arial"/>
                      <w:b/>
                      <w:bCs/>
                      <w:sz w:val="14"/>
                      <w:szCs w:val="14"/>
                      <w:vertAlign w:val="superscript"/>
                    </w:rPr>
                    <w:t>7</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SWCAA </w:t>
                  </w:r>
                  <w:r w:rsidRPr="00C342CD">
                    <w:rPr>
                      <w:rFonts w:ascii="Arial" w:eastAsia="Times New Roman" w:hAnsi="Arial" w:cs="Arial"/>
                      <w:b/>
                      <w:bCs/>
                      <w:sz w:val="14"/>
                      <w:szCs w:val="14"/>
                      <w:vertAlign w:val="superscript"/>
                    </w:rPr>
                    <w:t>8</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YRCAA </w:t>
                  </w:r>
                  <w:r w:rsidRPr="00C342CD">
                    <w:rPr>
                      <w:rFonts w:ascii="Arial" w:eastAsia="Times New Roman" w:hAnsi="Arial" w:cs="Arial"/>
                      <w:b/>
                      <w:bCs/>
                      <w:sz w:val="14"/>
                      <w:szCs w:val="14"/>
                      <w:vertAlign w:val="superscript"/>
                    </w:rPr>
                    <w:t>9</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   General Provisions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   Adoption and Submittal of State Plans for Designated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   Emission Guidelines and Compliance Times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Cb   Large Municipal Waste Combustors that are Constructed on or before September 20, 1994 (Emission Guidelines and Compliance Times)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Cc   Municipal Solid Waste Landfills (Emission Guidelines and Compliance Times)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Cd   Sulfuric Acid Production Units (Emission Guidelines and Compliance Times)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Ce   Hospital/Medical/Infectious Waste Incinerators (Emission Guidelines and Compliance Times)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   Fossil-Fuel-Fired Steam Generators for which Construction is Commenced after August 17, 1971</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Da   Electric Utility Steam Generating Units for which Construction is Commenced after September 18, 1978</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Db   Industrial-Commercial-Institutional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Dc   Small Industrial-Commercial-Institutional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   Incinerators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Ea   Municipal Waste Combustors for which Construction is Commenced after December 20, 1989 and on or before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Eb—Large Municipal Waste Combustors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Ec—Hospital/Medical/Infectious Waste Incinerators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   Portland Cement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   Nitric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   Sulfuric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   Hot Mix Asphalt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J   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   Storage Vessels for Petroleum Liquids for which Construction, Reconstruction, or Modification Commenced after June 11, 1973 and prior to May 19, 1978</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Ka   Storage Vessels for Petroleum Liquids for which Construction, Reconstruction, or Modification Commenced after May 18, 1978 and prior to July 23, 1984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Kb   VOC Liquid Storage Vessels (including Petroleum Liquid Storage Vessels) for which Construction, Reconstruction, or Modification Commenced after July 23, 1984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   Secondary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   Secondary Brass and Bronze Production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lastRenderedPageBreak/>
                    <w:t>N   Primary Emissions from Basic Oxygen Process Furnaces for which Construction is Commenced after June 11, 1973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Na   Secondary Emissions from Basic Oxygen Process Steel-making Facilities for which Construction is Commenced after January 20, 1983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   Sewage Treatment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   Primary Copper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Q   Primary Zinc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   Primary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   Primary Aluminum Reduction Plants </w:t>
                  </w:r>
                  <w:r w:rsidRPr="00C342CD">
                    <w:rPr>
                      <w:rFonts w:ascii="Arial" w:eastAsia="Times New Roman" w:hAnsi="Arial" w:cs="Arial"/>
                      <w:sz w:val="14"/>
                      <w:szCs w:val="14"/>
                      <w:vertAlign w:val="superscript"/>
                    </w:rPr>
                    <w:t>10</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T   Phosphate Fertilizer Industry: Wet Process 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U   Phosphate Fertilizer Industry: Superphosphoric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   Phosphate Fertilizer Industry: Diammonium 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   Phosphate Fertilizer Industry: Triple Superphosphate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   Phosphate Fertilizer Industry: Granular Triple Superphosphate Storage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   Coal Preparation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Z   Ferroalloy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   Steel Plants: Electric Arc Furnaces Constructed after October 21, 1974 and on or before August 17, 1983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AAa   Steel Plants: Electric Arc Furnaces and Argon-Oxygen Decarburization Vessels Constructed after August 7, 1983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BB   Kraft Pulp Mills </w:t>
                  </w:r>
                  <w:r w:rsidRPr="00C342CD">
                    <w:rPr>
                      <w:rFonts w:ascii="Arial" w:eastAsia="Times New Roman" w:hAnsi="Arial" w:cs="Arial"/>
                      <w:sz w:val="14"/>
                      <w:szCs w:val="14"/>
                      <w:vertAlign w:val="superscript"/>
                    </w:rPr>
                    <w:t>11</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CC   Glass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DD   Grain Elevators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EE   Surface Coating of Metal Furniture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GG   Stationary Gas Turbines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HH   Lime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KK   Lead-Acid Battery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LL   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MM   Automobile and Light Duty Truck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NN   Phosphate Rock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PP   Ammonium Sulfate Manufacture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QQ   Graphic Arts Industry: Publication Rotogravure Printing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RR   Pressure Sensitive Tape and Label Surface Coating Standards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SS   Industrial Surface Coating: Large Appliances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TT   Metal Coil Surface Coating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UU   Asphalt Processing and Asphalt Roof Manufacture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VV   Equipment Leaks of VOC in Synthetic Organic Chemical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WW   Beverage Can Surface Coating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lastRenderedPageBreak/>
                    <w:t>XX   Bulk Gasoline Terminals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AAA   New Residential Wood Heaters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BBB   Rubber Tire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DDD   VOC Emissions from Polymer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FFF   Flexible Vinyl and Urethane Coating and Printing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GGG   Equipment Leaks of VOC in 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HHH   Synthetic Fiber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III   VOC Emissions from Synthetic Organic Chemical Manufacturing Industry Air Oxidation Unit Processes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JJJ   Petroleum Dry Cleaners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KKK   Equipment Leaks of VOC from Onshore Natural Gas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LLL   Onshore Natural Gas Processing: SO</w:t>
                  </w:r>
                  <w:r w:rsidRPr="00C342CD">
                    <w:rPr>
                      <w:rFonts w:ascii="Arial" w:eastAsia="Times New Roman" w:hAnsi="Arial" w:cs="Arial"/>
                      <w:sz w:val="14"/>
                      <w:szCs w:val="14"/>
                      <w:vertAlign w:val="subscript"/>
                    </w:rPr>
                    <w:t>2</w:t>
                  </w:r>
                  <w:r w:rsidRPr="00C342CD">
                    <w:rPr>
                      <w:rFonts w:ascii="Arial" w:eastAsia="Times New Roman" w:hAnsi="Arial" w:cs="Arial"/>
                      <w:sz w:val="14"/>
                      <w:szCs w:val="14"/>
                    </w:rPr>
                    <w:t>Emissions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NNN   VOC Emissions from Synthetic Organic Chemical Manufacturing Industry Distillation Operations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OOO   Nonmetallic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PPP   Wool Fiberglass Insulation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QQQ   VOC Emissions from Petroleum Refinery Wastewater Systems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RRR   VOCs from Synthetic Organic Chemical Manufacturing Industry Reactor Processes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SSS   Magnetic Tape Coating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TTT   Industrial Surface Coating: Surface Coating of Plastic Parts for Business Machines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UUU   Calciners and Dryers in Mineral Industries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VVV   Polymeric Coating of Supporting Substrates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WWW   Municipal Solid Waste Landfills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AAAA   Small Municipal Waste Combustion Units for which Construction is Commenced after August 30, 1999 or for which Modification or Reconstruction is Commenced after June 6, 2001</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BBBB   Small Municipal Waste Combustion Units Constructed on or before August 30, 1999 (Emission Guidelines and Compliance Times)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CCCC   Commercial and Industrial Solid Waste Incineration Units for which Construction is Commenced after November, 30, 1999 or for which Modification or Reconstruction is Commenced on or after June 1, 2001</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DDDD   Commercial and Industrial Solid Waste Incineration Units that Commenced Construction on or before November 30, 1999 (Emission Guidelines and Compliance Times)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bl>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vertAlign w:val="superscript"/>
              </w:rPr>
              <w:t>1</w:t>
            </w:r>
            <w:r w:rsidRPr="00C342CD">
              <w:rPr>
                <w:rFonts w:ascii="Arial" w:eastAsia="Times New Roman" w:hAnsi="Arial" w:cs="Arial"/>
                <w:sz w:val="14"/>
                <w:szCs w:val="14"/>
              </w:rPr>
              <w:t xml:space="preserve"> Any authority within any subpart of this part that is not </w:t>
            </w:r>
            <w:proofErr w:type="gramStart"/>
            <w:r w:rsidRPr="00C342CD">
              <w:rPr>
                <w:rFonts w:ascii="Arial" w:eastAsia="Times New Roman" w:hAnsi="Arial" w:cs="Arial"/>
                <w:sz w:val="14"/>
                <w:szCs w:val="14"/>
              </w:rPr>
              <w:t>delegable,</w:t>
            </w:r>
            <w:proofErr w:type="gramEnd"/>
            <w:r w:rsidRPr="00C342CD">
              <w:rPr>
                <w:rFonts w:ascii="Arial" w:eastAsia="Times New Roman" w:hAnsi="Arial" w:cs="Arial"/>
                <w:sz w:val="14"/>
                <w:szCs w:val="14"/>
              </w:rPr>
              <w:t xml:space="preserve"> is not delegated. Please refer to Attachment B to the delegation letters for a listing of the NSPS authorities excluded from delegation.</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vertAlign w:val="superscript"/>
              </w:rPr>
              <w:t>2</w:t>
            </w:r>
            <w:r w:rsidRPr="00C342CD">
              <w:rPr>
                <w:rFonts w:ascii="Arial" w:eastAsia="Times New Roman" w:hAnsi="Arial" w:cs="Arial"/>
                <w:sz w:val="14"/>
                <w:szCs w:val="14"/>
              </w:rPr>
              <w:t> Washington State Department of Ecology, for 40 CFR 60.17(h)(1), (h)(2), (h)(3) and 40 CFR part 60, subpart AAAA, as in effect on June 6, 2001; for 40 CFR part 60, subpart CCCC, as in effect on June 1, 2001; and for all other NSPS delegated, as in effect February 20, 2001.</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vertAlign w:val="superscript"/>
              </w:rPr>
              <w:t>3</w:t>
            </w:r>
            <w:r w:rsidRPr="00C342CD">
              <w:rPr>
                <w:rFonts w:ascii="Arial" w:eastAsia="Times New Roman" w:hAnsi="Arial" w:cs="Arial"/>
                <w:sz w:val="14"/>
                <w:szCs w:val="14"/>
              </w:rPr>
              <w:t> Benton Clean Air Authority, for 40 CFR 60.17(h)(1), (h)(2), (h)(3) and 40 CFR part 60, subpart AAAA, as in effect on June 6, 2001; for 40 CFR part 60, subpart CCCC, as in effect on June 1, 2001; and for all other NSPS delegated, as in effect February 20, 2001.</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vertAlign w:val="superscript"/>
              </w:rPr>
              <w:lastRenderedPageBreak/>
              <w:t>4</w:t>
            </w:r>
            <w:r w:rsidRPr="00C342CD">
              <w:rPr>
                <w:rFonts w:ascii="Arial" w:eastAsia="Times New Roman" w:hAnsi="Arial" w:cs="Arial"/>
                <w:sz w:val="14"/>
                <w:szCs w:val="14"/>
              </w:rPr>
              <w:t> Northwest Air Pollution Authority, for all NSPS delegated, as in effect on July 1, 2000.</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vertAlign w:val="superscript"/>
              </w:rPr>
              <w:t>5</w:t>
            </w:r>
            <w:r w:rsidRPr="00C342CD">
              <w:rPr>
                <w:rFonts w:ascii="Arial" w:eastAsia="Times New Roman" w:hAnsi="Arial" w:cs="Arial"/>
                <w:sz w:val="14"/>
                <w:szCs w:val="14"/>
              </w:rPr>
              <w:t> Olympic Regional Clean Air Authority, for 40 CFR 60.17(h)(1), (h)(2), (h)(3) and 40 CFR part 60, subpart AAAA, as in effect on June 6, 2001; for 40 CFR part 60, subpart CCCC, as in effect on June 1, 2001; and for all other NSPS delegated, as in effect February 20, 2001.</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vertAlign w:val="superscript"/>
              </w:rPr>
              <w:t>6</w:t>
            </w:r>
            <w:r w:rsidRPr="00C342CD">
              <w:rPr>
                <w:rFonts w:ascii="Arial" w:eastAsia="Times New Roman" w:hAnsi="Arial" w:cs="Arial"/>
                <w:sz w:val="14"/>
                <w:szCs w:val="14"/>
              </w:rPr>
              <w:t> Puget Sound Clean Air Authority, for all NSPS delegated, as in effect on July 1, 2002.</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vertAlign w:val="superscript"/>
              </w:rPr>
              <w:t>7</w:t>
            </w:r>
            <w:r w:rsidRPr="00C342CD">
              <w:rPr>
                <w:rFonts w:ascii="Arial" w:eastAsia="Times New Roman" w:hAnsi="Arial" w:cs="Arial"/>
                <w:sz w:val="14"/>
                <w:szCs w:val="14"/>
              </w:rPr>
              <w:t> Spokane County Air Pollution Control Authority, for 40 CFR 60.17(h)(1), (h)(2), (h)(3) and 40 CFR part 60, subpart AAAA, as in effect on June 6, 2001; for 40 CFR part 60, subpart CCCC, as in effect on June 1, 2001; and for all other NSPS delegated, as in effect February 20, 2001.</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vertAlign w:val="superscript"/>
              </w:rPr>
              <w:t>8</w:t>
            </w:r>
            <w:r w:rsidRPr="00C342CD">
              <w:rPr>
                <w:rFonts w:ascii="Arial" w:eastAsia="Times New Roman" w:hAnsi="Arial" w:cs="Arial"/>
                <w:sz w:val="14"/>
                <w:szCs w:val="14"/>
              </w:rPr>
              <w:t> Southwest Clean Air Agency, for all NSPS delegated, as in effect on July 1, 2000.</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vertAlign w:val="superscript"/>
              </w:rPr>
              <w:t>9</w:t>
            </w:r>
            <w:r w:rsidRPr="00C342CD">
              <w:rPr>
                <w:rFonts w:ascii="Arial" w:eastAsia="Times New Roman" w:hAnsi="Arial" w:cs="Arial"/>
                <w:sz w:val="14"/>
                <w:szCs w:val="14"/>
              </w:rPr>
              <w:t> Yakima Regional Clean Air Authority, for 40 CFR 60.17(h)(1), (h)(2), (h)(3) and 40 CFR part 60, subpart AAAA, as in effect on June 6, 2001; for 40 CFR part 60, subpart CCCC, as in effect on June 1, 2001; and for all other NSPS delegated, as in effect February 20, 2001.</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vertAlign w:val="superscript"/>
              </w:rPr>
              <w:t>10</w:t>
            </w:r>
            <w:r w:rsidRPr="00C342CD">
              <w:rPr>
                <w:rFonts w:ascii="Arial" w:eastAsia="Times New Roman" w:hAnsi="Arial" w:cs="Arial"/>
                <w:sz w:val="14"/>
                <w:szCs w:val="14"/>
              </w:rPr>
              <w:t> Subpart S of this part is not delegated to local agencies in Washington because the Washington State Department of Ecology retains sole authority to regulate Primary Aluminum Plants, pursuant to Washington Administrative Code 173-415-010.</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vertAlign w:val="superscript"/>
              </w:rPr>
              <w:t>11</w:t>
            </w:r>
            <w:r w:rsidRPr="00C342CD">
              <w:rPr>
                <w:rFonts w:ascii="Arial" w:eastAsia="Times New Roman" w:hAnsi="Arial" w:cs="Arial"/>
                <w:sz w:val="14"/>
                <w:szCs w:val="14"/>
              </w:rPr>
              <w:t> Subpart BB of this part is not delegated to local agencies in Washington because the Washington State Department of Ecology retains sole authority to regulate Kraft and Sulfite Pulping Mills, pursuant to Washington State Administrative Code 173-405-012 and 173-410-012.</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(XX) State of West Virginia, Department of Environmental Protection, Division of Air Quality, 601 57th Street, SE., Charleston, West Virginia 25304.</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(YY) State of Wisconsin: Wisconsin Department of Natural Resouces, 101 South Webster St., P.O. Box 7921, Madison, Wisconsin 53707-7921.</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(ZZ) State of Wyoming, Department of Environmental Quality, Air Quality Division, Herschler Building, 122 West 25th Street, Cheyenne, WY 82002.</w:t>
            </w:r>
          </w:p>
          <w:p w:rsidR="00C342CD" w:rsidRPr="00C342CD" w:rsidRDefault="00C342CD" w:rsidP="00C342CD">
            <w:pPr>
              <w:spacing w:before="200" w:after="100" w:afterAutospacing="1" w:line="240" w:lineRule="auto"/>
              <w:ind w:firstLine="480"/>
              <w:rPr>
                <w:rFonts w:ascii="Arial" w:eastAsia="Times New Roman" w:hAnsi="Arial" w:cs="Arial"/>
                <w:sz w:val="13"/>
                <w:szCs w:val="13"/>
              </w:rPr>
            </w:pPr>
            <w:r w:rsidRPr="00C342CD">
              <w:rPr>
                <w:rFonts w:ascii="Arial" w:eastAsia="Times New Roman" w:hAnsi="Arial" w:cs="Arial"/>
                <w:smallCaps/>
                <w:sz w:val="13"/>
                <w:szCs w:val="13"/>
              </w:rPr>
              <w:t>Note:</w:t>
            </w:r>
            <w:r w:rsidRPr="00C342CD">
              <w:rPr>
                <w:rFonts w:ascii="Arial" w:eastAsia="Times New Roman" w:hAnsi="Arial" w:cs="Arial"/>
                <w:sz w:val="13"/>
                <w:szCs w:val="13"/>
              </w:rPr>
              <w:t xml:space="preserve"> For a table listing Region VIII's NSPS delegation status, see paragraph (c) of this section.</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(AAA) Territory of Guam: Guam Environmental Protection Agency, P.O. Box 22439 GMF, Barrigada, Guam 96921.</w:t>
            </w:r>
          </w:p>
          <w:p w:rsidR="00C342CD" w:rsidRPr="00C342CD" w:rsidRDefault="00C342CD" w:rsidP="00C342CD">
            <w:pPr>
              <w:spacing w:before="200" w:after="100" w:afterAutospacing="1" w:line="240" w:lineRule="auto"/>
              <w:ind w:firstLine="480"/>
              <w:rPr>
                <w:rFonts w:ascii="Arial" w:eastAsia="Times New Roman" w:hAnsi="Arial" w:cs="Arial"/>
                <w:sz w:val="13"/>
                <w:szCs w:val="13"/>
              </w:rPr>
            </w:pPr>
            <w:r w:rsidRPr="00C342CD">
              <w:rPr>
                <w:rFonts w:ascii="Arial" w:eastAsia="Times New Roman" w:hAnsi="Arial" w:cs="Arial"/>
                <w:smallCaps/>
                <w:sz w:val="13"/>
                <w:szCs w:val="13"/>
              </w:rPr>
              <w:t>Note:</w:t>
            </w:r>
            <w:r w:rsidRPr="00C342CD">
              <w:rPr>
                <w:rFonts w:ascii="Arial" w:eastAsia="Times New Roman" w:hAnsi="Arial" w:cs="Arial"/>
                <w:sz w:val="13"/>
                <w:szCs w:val="13"/>
              </w:rPr>
              <w:t xml:space="preserve"> For tables listing the delegation status of agencies in Region IX, see paragraph (d) of this section.</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(BBB) Commonwealth of Puerto Rico: Commonwealth of Puerto Rico Environmental Quality Board, P.O. Box 11488, Santurce, PR 00910, Attention: Air Quality Area Director (see table under § 60.4(b</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FF)(1)).</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(CCC) U.S. Virgin Islands: U.S. Virgin Islands Department of Conservation and Cultural Affairs, P.O. Box 578, Charlotte Amalie, St. Thomas, VI 00801.</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(DDD) American Samoa: American Samoa Environmental Protection Agency, P.O. Box PPA, Pago Pago, American Samoa 96799.</w:t>
            </w:r>
          </w:p>
          <w:p w:rsidR="00C342CD" w:rsidRPr="00C342CD" w:rsidRDefault="00C342CD" w:rsidP="00C342CD">
            <w:pPr>
              <w:spacing w:before="200" w:after="100" w:afterAutospacing="1" w:line="240" w:lineRule="auto"/>
              <w:ind w:firstLine="480"/>
              <w:rPr>
                <w:rFonts w:ascii="Arial" w:eastAsia="Times New Roman" w:hAnsi="Arial" w:cs="Arial"/>
                <w:sz w:val="13"/>
                <w:szCs w:val="13"/>
              </w:rPr>
            </w:pPr>
            <w:r w:rsidRPr="00C342CD">
              <w:rPr>
                <w:rFonts w:ascii="Arial" w:eastAsia="Times New Roman" w:hAnsi="Arial" w:cs="Arial"/>
                <w:smallCaps/>
                <w:sz w:val="13"/>
                <w:szCs w:val="13"/>
              </w:rPr>
              <w:t>Note:</w:t>
            </w:r>
            <w:r w:rsidRPr="00C342CD">
              <w:rPr>
                <w:rFonts w:ascii="Arial" w:eastAsia="Times New Roman" w:hAnsi="Arial" w:cs="Arial"/>
                <w:sz w:val="13"/>
                <w:szCs w:val="13"/>
              </w:rPr>
              <w:t xml:space="preserve"> For tables listing the delegation status of agencies in Region IX, see paragraph (d) of this section.</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(EEE) Commonwealth of the Northern Mariana Islands: CNMI Division of Environmental Quality, P.O. Box 501304, Saipan, MP 96950.</w:t>
            </w:r>
          </w:p>
          <w:p w:rsidR="00C342CD" w:rsidRPr="00C342CD" w:rsidRDefault="00C342CD" w:rsidP="00C342CD">
            <w:pPr>
              <w:spacing w:before="200" w:after="100" w:afterAutospacing="1" w:line="240" w:lineRule="auto"/>
              <w:ind w:firstLine="480"/>
              <w:rPr>
                <w:rFonts w:ascii="Arial" w:eastAsia="Times New Roman" w:hAnsi="Arial" w:cs="Arial"/>
                <w:sz w:val="13"/>
                <w:szCs w:val="13"/>
              </w:rPr>
            </w:pPr>
            <w:r w:rsidRPr="00C342CD">
              <w:rPr>
                <w:rFonts w:ascii="Arial" w:eastAsia="Times New Roman" w:hAnsi="Arial" w:cs="Arial"/>
                <w:smallCaps/>
                <w:sz w:val="13"/>
                <w:szCs w:val="13"/>
              </w:rPr>
              <w:t>Note:</w:t>
            </w:r>
            <w:r w:rsidRPr="00C342CD">
              <w:rPr>
                <w:rFonts w:ascii="Arial" w:eastAsia="Times New Roman" w:hAnsi="Arial" w:cs="Arial"/>
                <w:sz w:val="13"/>
                <w:szCs w:val="13"/>
              </w:rPr>
              <w:t xml:space="preserve"> For tables listing the delegation status of agencies in Region IX, see paragraph (d) of this section.</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(c) The following is a table indicating the delegation status of New Source Performance Standards for Region VIII.</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b/>
                <w:bCs/>
                <w:smallCaps/>
                <w:sz w:val="14"/>
                <w:szCs w:val="14"/>
              </w:rPr>
            </w:pPr>
            <w:r w:rsidRPr="00C342CD">
              <w:rPr>
                <w:rFonts w:ascii="Arial" w:eastAsia="Times New Roman" w:hAnsi="Arial" w:cs="Arial"/>
                <w:b/>
                <w:bCs/>
                <w:smallCaps/>
                <w:sz w:val="14"/>
                <w:szCs w:val="14"/>
              </w:rPr>
              <w:t>Delegation Status of New Source Performance Standards</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[(NSPS) for Region VIII]</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7946"/>
              <w:gridCol w:w="240"/>
              <w:gridCol w:w="233"/>
              <w:gridCol w:w="233"/>
              <w:gridCol w:w="225"/>
              <w:gridCol w:w="217"/>
              <w:gridCol w:w="256"/>
            </w:tblGrid>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lastRenderedPageBreak/>
                    <w:t>Subpart</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CO</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MT</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ND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SD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UT</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WY</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A—General Provisions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D—Fossil Fuel Fired Steam Generators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Da—Electric Utility Steam Generators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Db—Industrial-Commercial—Institutional Steam Generators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Dc—Industrial-Commercial-Institutional Steam Generators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E—Incinerators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Ea—Municipal Waste Combustors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Eb—Large Municipal Waste Combustors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   </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   </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Ec—Hospital/Medical/Infectious Waste Incinerators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F—Portland Cement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G—Nitric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H—Sulfuric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I—Asphalt Concrete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J—Petroleum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K—Petroleum Storage Vessels (after 6/11/73 &amp; prior to</w:t>
                  </w:r>
                  <w:r w:rsidRPr="00C342CD">
                    <w:rPr>
                      <w:rFonts w:ascii="Arial" w:eastAsia="Times New Roman" w:hAnsi="Arial" w:cs="Arial"/>
                      <w:sz w:val="14"/>
                      <w:szCs w:val="14"/>
                    </w:rPr>
                    <w:br/>
                    <w:t>   5/19/78)</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Ka—Petroleum Storage Vessels (after 5/18/78 &amp; prior to</w:t>
                  </w:r>
                  <w:r w:rsidRPr="00C342CD">
                    <w:rPr>
                      <w:rFonts w:ascii="Arial" w:eastAsia="Times New Roman" w:hAnsi="Arial" w:cs="Arial"/>
                      <w:sz w:val="14"/>
                      <w:szCs w:val="14"/>
                    </w:rPr>
                    <w:br/>
                    <w:t>   7/23/84)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Kb—Petroleum Storage Vessels (after 7/23/84)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L—Secondary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M—Secondary Brass and Bronze Production</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N—Primary Emissions from Basic Oxygen Process Furnaces (after 6/11/73)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Na—Secondary Emissions from Basic Oxygen Process Furnaces (after 1/20/83)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O—Sewage Treatment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P—Primary Copper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Q—Primary Zinc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R—Primary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S—Primary Aluminum Reduction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T—Phosphate Fertilizer Industry: Wet Process Phosphoric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U—Phosphate Fertilizer Industry: Superphosphoric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V—Phosphate Fertilizer Industry: Diammonium 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W—Phosphate Fertilizer Industry: Triple Superphosphate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X—Phosphate Fertilizer Industry: Granular Triple Superphosphate Storage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Y—Coal Preparation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Z—Ferroalloy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AA—Steel Plants: Electric Arc Furnaces (10/21/74-8/17/83)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AAa—Steel Plants: Electric Arc Furnaces and Argon-Oxygen Decarburization Vessels (after 8/7/83)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lastRenderedPageBreak/>
                    <w:t>BB—Kraft Pulp Mills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CC—Glass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DD—Grain Elevator</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EE—Surface Coating of Metal Furniture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GG—Stationary Gas Turbines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HH—Lime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KK—Lead-Acid Battery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LL—Metallic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MM—Automobile &amp; Light Duty Truck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NN—Phosphate Rock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PP—Ammonium Sulfate Manufacturing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QQ—Graphic Arts Industry: Publication Rotogravure Printing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RR—Pressure Sensitive Tape &amp; Label Surface Coating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SS—Industrial Surface Coating: Large Applications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TT—Metal Coil Surface Coating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UU—Asphalt Processing &amp; Asphalt Roofing Manufacture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VV—Synthetic Organic Chemicals Manufacturing: Equipment Leaks of VOC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WW—Beverage Can Surface Coating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XX—Bulk Gasoline Terminals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AAA—Residential Wood Heaters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BBB—Rubber Tires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DDD—VOC Emissions from Polymer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FFF—Flexible Vinyl &amp; Urethane Coating &amp; Printing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GGG—Equipment Leaks of VOC in 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HHH—Synthetic Fiber Production</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III—VOC Emissions from the Synthetic Organic Chemical Manufacturing Industry Air Oxidation Unit Processes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JJJ—Petroleum Dry Cleaners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KKK—Equipment Leaks of VOC from Onshore Natural Gas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LLL—Onshore Natural Gas Processing: SO</w:t>
                  </w:r>
                  <w:r w:rsidRPr="00C342CD">
                    <w:rPr>
                      <w:rFonts w:ascii="Arial" w:eastAsia="Times New Roman" w:hAnsi="Arial" w:cs="Arial"/>
                      <w:sz w:val="14"/>
                      <w:szCs w:val="14"/>
                      <w:vertAlign w:val="subscript"/>
                    </w:rPr>
                    <w:t>2</w:t>
                  </w:r>
                  <w:r w:rsidRPr="00C342CD">
                    <w:rPr>
                      <w:rFonts w:ascii="Arial" w:eastAsia="Times New Roman" w:hAnsi="Arial" w:cs="Arial"/>
                      <w:sz w:val="14"/>
                      <w:szCs w:val="14"/>
                    </w:rPr>
                    <w:t>Emissions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NNN—VOC Emissions from the Synthetic Organic Chemical Manufacturing Industry Distillation Operations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OOO—Nonmetallic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PPP—Wool Fiberglass Insulation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QQQ—VOC Emissions from Petroleum Refinery Wastewater Systems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RRR—VOC Emissions from Synthetic Organic Chemistry Manufacturing Industry (SOCMI) Reactor Processes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SSS—Magnetic Tape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TTT—Plastic Parts for Business Machine Coatings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   </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UUU—Calciners and Dryers in Mineral Industries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VVV—Polymeric Coating of Supporting Substrates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   </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lastRenderedPageBreak/>
                    <w:t>WWW—Municipal Solid Waste Landfills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AAAA-Small Municipal Waste Combustors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CCCC-Commercial and Industrial Solid Waste Incineration Units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EEEE—Other Solid Waste Incineration Units for Which Construction is Commenced After December 9, 2004, or for Which Modification or Reconstruction is Commenced On or After June 16, 2006</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w:t>
                  </w:r>
                </w:p>
              </w:tc>
            </w:tr>
          </w:tbl>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Indicates approval of State regulation.</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(d) The following tables list the specific part 60 standards that have been delegated unchanged to the air pollution control agencies in Region IX. The (X) symbol is used to indicate each standard that has been delegated. The following provisions of this subpart are not delegated: §§ 60.4(b), 60.8(b), 60.9, 60.11(b), 60.11(e), 60.13(a), 60.13(d</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2), 60.13(g), 60.13(i).</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(1) </w:t>
            </w:r>
            <w:r w:rsidRPr="00C342CD">
              <w:rPr>
                <w:rFonts w:ascii="Arial" w:eastAsia="Times New Roman" w:hAnsi="Arial" w:cs="Arial"/>
                <w:i/>
                <w:iCs/>
                <w:sz w:val="14"/>
                <w:szCs w:val="14"/>
              </w:rPr>
              <w:t>Arizona.</w:t>
            </w:r>
            <w:r w:rsidRPr="00C342CD">
              <w:rPr>
                <w:rFonts w:ascii="Arial" w:eastAsia="Times New Roman" w:hAnsi="Arial" w:cs="Arial"/>
                <w:sz w:val="14"/>
                <w:szCs w:val="14"/>
              </w:rPr>
              <w:t xml:space="preserve"> The following table identifies delegations for Arizona:</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b/>
                <w:bCs/>
                <w:smallCaps/>
                <w:sz w:val="14"/>
                <w:szCs w:val="14"/>
              </w:rPr>
            </w:pPr>
            <w:r w:rsidRPr="00C342CD">
              <w:rPr>
                <w:rFonts w:ascii="Arial" w:eastAsia="Times New Roman" w:hAnsi="Arial" w:cs="Arial"/>
                <w:b/>
                <w:bCs/>
                <w:smallCaps/>
                <w:sz w:val="14"/>
                <w:szCs w:val="14"/>
              </w:rPr>
              <w:t>Delegation Status for New Source Performance Standards for Arizona</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466"/>
              <w:gridCol w:w="6311"/>
              <w:gridCol w:w="686"/>
              <w:gridCol w:w="861"/>
              <w:gridCol w:w="513"/>
              <w:gridCol w:w="513"/>
            </w:tblGrid>
            <w:tr w:rsidR="00C342CD" w:rsidRPr="00C342CD" w:rsidTr="00C342CD">
              <w:trPr>
                <w:jc w:val="center"/>
              </w:trPr>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   </w:t>
                  </w:r>
                </w:p>
              </w:tc>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Subpart</w:t>
                  </w:r>
                </w:p>
              </w:tc>
              <w:tc>
                <w:tcPr>
                  <w:tcW w:w="0" w:type="auto"/>
                  <w:gridSpan w:val="4"/>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Air Pollution Control Agency</w:t>
                  </w:r>
                </w:p>
              </w:tc>
            </w:tr>
            <w:tr w:rsidR="00C342CD" w:rsidRPr="00C342CD" w:rsidTr="00C342CD">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342CD" w:rsidRPr="00C342CD" w:rsidRDefault="00C342CD" w:rsidP="00C342CD">
                  <w:pPr>
                    <w:spacing w:after="0" w:line="240" w:lineRule="auto"/>
                    <w:rPr>
                      <w:rFonts w:ascii="Arial" w:eastAsia="Times New Roman" w:hAnsi="Arial" w:cs="Arial"/>
                      <w:b/>
                      <w:bCs/>
                      <w:sz w:val="14"/>
                      <w:szCs w:val="1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342CD" w:rsidRPr="00C342CD" w:rsidRDefault="00C342CD" w:rsidP="00C342CD">
                  <w:pPr>
                    <w:spacing w:after="0" w:line="240" w:lineRule="auto"/>
                    <w:rPr>
                      <w:rFonts w:ascii="Arial" w:eastAsia="Times New Roman" w:hAnsi="Arial" w:cs="Arial"/>
                      <w:b/>
                      <w:bCs/>
                      <w:sz w:val="14"/>
                      <w:szCs w:val="14"/>
                    </w:rPr>
                  </w:pP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Arizona DEQ</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Maricopa County</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Pima</w:t>
                  </w:r>
                  <w:r w:rsidRPr="00C342CD">
                    <w:rPr>
                      <w:rFonts w:ascii="Arial" w:eastAsia="Times New Roman" w:hAnsi="Arial" w:cs="Arial"/>
                      <w:b/>
                      <w:bCs/>
                      <w:sz w:val="14"/>
                      <w:szCs w:val="14"/>
                    </w:rPr>
                    <w:br/>
                    <w:t>County</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Pinal</w:t>
                  </w:r>
                  <w:r w:rsidRPr="00C342CD">
                    <w:rPr>
                      <w:rFonts w:ascii="Arial" w:eastAsia="Times New Roman" w:hAnsi="Arial" w:cs="Arial"/>
                      <w:b/>
                      <w:bCs/>
                      <w:sz w:val="14"/>
                      <w:szCs w:val="14"/>
                    </w:rPr>
                    <w:br/>
                    <w:t>County</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General Provisions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Fossil-Fuel Fired Steam Generators Constructed After August 17, 1971</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Electric Utility Steam Generating Units Constructed After September 18, 1978</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Industrial-Commercial-Institutional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Small Industrial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Incinerators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Municipal Waste Combustors Constructed After December 20, 1989 and On or Before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Municipal Waste Combustors Constructed After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Hospital/Medical/Infectious Waste Incinerators for Which Construction is Commenced After June 20, 1996</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Portland Cement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Nitric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Sulfuric Acid Plant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Hot Mix Asphalt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J</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Ja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Petroleum Refineries for Which Construction, Reconstruction, or Modification Commenced After May 14, 2007</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Storage Vessels for Petroleum Liquids for Which Construction, Reconstruction, or Modification Commenced After June 11, 1973, and Prior to May 19, 1978</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Storage Vessels for Petroleum Liquids for Which Construction, Reconstruction, or Modification Commenced After May 18, 1978, and Prior to July 23, 1984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Liquid Storage Vessels (Including Petroleum Liquid Storage Vessels) for Which Construction, Reconstruction, or Modification Commenced After July 23, 1984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Secondary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Secondary Brass and Bronze Production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lastRenderedPageBreak/>
                    <w:t>N</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Emissions from Basic Oxygen Process Furnaces for Which Construction is Commenced After June 11, 1973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Secondary Emissions from Basic Oxygen Process Steelmaking Facilities for Which Construction is Commenced After January 20, 1983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Sewage Treatment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Copper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Q</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Zinc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Aluminum Reduction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Wet Process 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U</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Superphosphoric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Diammonium 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Triple Superphosphate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Granular Triple Superphosphate Storage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Coal Preparation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Z</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Ferroalloy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Steel Plants: Electric Arc Furnaces Constructed After October 21, 1974 and On or Before August 17, 1983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Steel Plants: Electric Arc Furnaces and Argon-Oxygen Decarburization Vessels Constructed After August 7, 1983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Kraft Pulp Mills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Glass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Grain Elevators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Surface Coating of Metal Furniture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FF</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Stationary Gas Turbines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HH</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Lime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KK</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Lead-Acid Battery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LL</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MM</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Automobile and Light Duty Trucks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NN</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Rock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PP</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Ammonium Sulfate Manufacture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QQ</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Graphic Arts Industry: Publication Rotogravure Printing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RR</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Pressure Sensitive Tape and Label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Industrial Surface Coating: Large Appliances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TT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Metal Coil Surface Coating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UU</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Asphalt Processing and Asphalt Roofing Manufacture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VV</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Equipment Leaks of VOC in the Synthetic Organic Chemicals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VVa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Equipment Leaks of VOC in the Synthetic Organic Chemicals Manufacturing Industry for Which Construction, Reconstruction, or Modification Commenced After November 7, 2006</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WW</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Beverage Can Surface Coating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lastRenderedPageBreak/>
                    <w:t>XX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Bulk Gasoline Terminals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New Residential Wool Heaters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BBB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Rubber Tire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CCC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DDD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Compounds (VOC) Emissions from the Polymer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EEE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FFF</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Flexible Vinyl and Urethane Coating and Printing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GGG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Equipment Leaks of VOC in 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GGGa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Equipment Leaks of VOC in Petroleum Refineries for Which Construction, Reconstruction, or Modification Commenced After November 7, 2006</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HHH</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Synthetic Fiber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III</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Compound (VOC) Emissions From the Synthetic Organic Chemical Manufacturing Industry (SOCMI) Air Oxidation Unit Processes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JJJ</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Petroleum Dry Cleaners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KKK</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Equipment Leaks of VOC From Onshore Natural Gas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LLL</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Onshore Natural Gas Processing: SO</w:t>
                  </w:r>
                  <w:r w:rsidRPr="00C342CD">
                    <w:rPr>
                      <w:rFonts w:ascii="Arial" w:eastAsia="Times New Roman" w:hAnsi="Arial" w:cs="Arial"/>
                      <w:sz w:val="14"/>
                      <w:szCs w:val="14"/>
                      <w:vertAlign w:val="subscript"/>
                    </w:rPr>
                    <w:t>2</w:t>
                  </w:r>
                  <w:r w:rsidRPr="00C342CD">
                    <w:rPr>
                      <w:rFonts w:ascii="Arial" w:eastAsia="Times New Roman" w:hAnsi="Arial" w:cs="Arial"/>
                      <w:sz w:val="14"/>
                      <w:szCs w:val="14"/>
                    </w:rPr>
                    <w:t>Emissions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MMM</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NNN</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Compound (VOC) Emissions From Synthetic Organic Chemical Manufacturing Industry (SOCMI) Distillation Operations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OOO</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Nonmetallic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PPP</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Wool Fiberglass Insulation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QQQ</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VOC Emissions From Petroleum Refinery Wastewater Systems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RRR</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Compound Emissions from Synthetic Organic Chemical Manufacturing Industry (SOCMI) Reactor Processes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SSS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Magnetic Tape Coating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TTT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Industrial Surface Coating: Surface Coating of Plastic Parts for Business Machines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UUU</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Calciners and Dryers in Mineral Industries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VVV</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Polymeric Coating of Supporting Substrates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WWW</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Municipal Solid Waste Landfills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AAAA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Small Municipal Waste Combustion Units for Which Construction is Commenced After August 30, 1999 or for Which Modification or Reconstruction is Commended After June 6, 2001</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CCCC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Commercial and Industrial Solid Waste Incineration Units for Which Construction Is Commenced After November 30, 1999 or for Which Modification or Reconstruction Is Commenced on or After June 1, 2001</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EEEE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Other Solid Waste Incineration Units for Which Construction is Commenced After December 9, 2004, or for Which Modification or Reconstruction is Commenced on or After June 16, 2006</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IIII</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Stationary Compression Ignition Internal Combustion Engines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JJJJ</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Stationary Spark Ignition Internal Combustion Engines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KKKK</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Stationary Combustion Turbines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GGGG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bl>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(2) </w:t>
            </w:r>
            <w:r w:rsidRPr="00C342CD">
              <w:rPr>
                <w:rFonts w:ascii="Arial" w:eastAsia="Times New Roman" w:hAnsi="Arial" w:cs="Arial"/>
                <w:i/>
                <w:iCs/>
                <w:sz w:val="14"/>
                <w:szCs w:val="14"/>
              </w:rPr>
              <w:t>California.</w:t>
            </w:r>
            <w:r w:rsidRPr="00C342CD">
              <w:rPr>
                <w:rFonts w:ascii="Arial" w:eastAsia="Times New Roman" w:hAnsi="Arial" w:cs="Arial"/>
                <w:sz w:val="14"/>
                <w:szCs w:val="14"/>
              </w:rPr>
              <w:t xml:space="preserve"> The following tables identify delegations for each of the local air pollution control agencies of California.</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lastRenderedPageBreak/>
              <w:t>(i) Delegations for Amador County Air Pollution Control District, Antelope Valley Air Pollution Control District, Bay Area Air Quality Management District, and Butte County Air Pollution Control District are shown in the following table:</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b/>
                <w:bCs/>
                <w:smallCaps/>
                <w:sz w:val="14"/>
                <w:szCs w:val="14"/>
              </w:rPr>
            </w:pPr>
            <w:r w:rsidRPr="00C342CD">
              <w:rPr>
                <w:rFonts w:ascii="Arial" w:eastAsia="Times New Roman" w:hAnsi="Arial" w:cs="Arial"/>
                <w:b/>
                <w:bCs/>
                <w:smallCaps/>
                <w:sz w:val="14"/>
                <w:szCs w:val="14"/>
              </w:rPr>
              <w:t>Delegation Status for New Source Performance Standards for Amador County APCD, Antelope Valley APCD, Bay Area AQMD, and Butte County AQMD</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427"/>
              <w:gridCol w:w="5414"/>
              <w:gridCol w:w="949"/>
              <w:gridCol w:w="987"/>
              <w:gridCol w:w="721"/>
              <w:gridCol w:w="852"/>
            </w:tblGrid>
            <w:tr w:rsidR="00C342CD" w:rsidRPr="00C342CD" w:rsidTr="00C342CD">
              <w:trPr>
                <w:jc w:val="center"/>
              </w:trPr>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   </w:t>
                  </w:r>
                </w:p>
              </w:tc>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Subpart</w:t>
                  </w:r>
                </w:p>
              </w:tc>
              <w:tc>
                <w:tcPr>
                  <w:tcW w:w="0" w:type="auto"/>
                  <w:gridSpan w:val="4"/>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Air pollution control agency</w:t>
                  </w:r>
                </w:p>
              </w:tc>
            </w:tr>
            <w:tr w:rsidR="00C342CD" w:rsidRPr="00C342CD" w:rsidTr="00C342CD">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342CD" w:rsidRPr="00C342CD" w:rsidRDefault="00C342CD" w:rsidP="00C342CD">
                  <w:pPr>
                    <w:spacing w:after="0" w:line="240" w:lineRule="auto"/>
                    <w:rPr>
                      <w:rFonts w:ascii="Arial" w:eastAsia="Times New Roman" w:hAnsi="Arial" w:cs="Arial"/>
                      <w:b/>
                      <w:bCs/>
                      <w:sz w:val="14"/>
                      <w:szCs w:val="1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342CD" w:rsidRPr="00C342CD" w:rsidRDefault="00C342CD" w:rsidP="00C342CD">
                  <w:pPr>
                    <w:spacing w:after="0" w:line="240" w:lineRule="auto"/>
                    <w:rPr>
                      <w:rFonts w:ascii="Arial" w:eastAsia="Times New Roman" w:hAnsi="Arial" w:cs="Arial"/>
                      <w:b/>
                      <w:bCs/>
                      <w:sz w:val="14"/>
                      <w:szCs w:val="14"/>
                    </w:rPr>
                  </w:pP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Amador County APCD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Antelope Valley APCD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Bay Area AQMD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Butte County APCD</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General Provisions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Fossil-Fuel Fired Steam Generators Constructed After August 17, 1971</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Electric Utility Steam Generating Units Constructed After September 18, 1978</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Industrial-Commercial-Institutional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Small Industrial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Incinerators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Municipal Waste Combustors Constructed After December 20, 1989 and On or Before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Municipal Waste Combustors Constructed After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Hospital/Medical/Infectious Waste Incinerators for Which Construction is Commenced After June 20, 1996</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Portland Cement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Nitric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Sulfuric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Hot Mix Asphalt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J</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Storage Vessels for Petroleum Liquids for Which Construction, Reconstruction, or Modification Commenced After June 11, 1973, and Prior to May 19, 1978</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Storage Vessels for Petroleum Liquids for Which Construction, Reconstruction, or Modification Commenced After May 18, 1978, and Prior to July 23, 1984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Liquid Storage Vessels (Including Petroleum Liquid Storage Vessels) for Which Construction, Reconstruction, or Modification Commenced After July 23, 1984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Secondary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Secondary Brass and Bronze Production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Emissions from Basic Oxygen Process Furnaces for Which Construction is Commenced After June 11, 1973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Secondary Emissions from Basic Oxygen Process Steelmaking Facilities for Which Construction is Commenced After January 20, 1983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Sewage Treatment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Copper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Q</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Zinc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Aluminum Reduction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Wet Process 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lastRenderedPageBreak/>
                    <w:t>U</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Superphosphoric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Diammonium 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Triple Superphosphate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Granular Triple Superphosphate Storage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Coal Preparation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Z</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Ferroalloy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Steel Plants: Electric Arc Furnaces Constructed After October 21, 1974 and On or Before August 17, 1983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Steel Plants: Electric Arc Furnaces and Argon-Oxygen Decarburization Vessels Constructed After August 7, 1983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Kraft pulp Mills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Glass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Grain Elevators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Surface Coating of Metal Furniture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FF</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Stationary Gas Turbines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HH</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Lime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KK</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Lead-Acid Battery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LL</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MM</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Automobile and Light Duty Trucks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NN</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Rock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PP</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Ammonium Sulfate Manufacture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QQ</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Graphic Arts Industry: Publication Rotogravure Printing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RR</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Pressure Sensitive Tape and Label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Industrial Surface Coating: Large Appliances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TT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Metal Coil Surface Coating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UU</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Asphalt Processing and Asphalt Roofing Manufacture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VV</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Equipment Leaks of VOC in the Synthetic Organic Chemicals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WW</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Beverage Can Surface Coating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Bulk Gasoline Terminals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New Residential Wool Heaters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BBB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Rubber Tire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CCC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DDD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Compounds (VOC) Emissions from the Polymer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EEE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FFF</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Flexible Vinyl and Urethane Coating and Printing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GGG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Equipment Leaks of VOC in 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HHH</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Synthetic Fiber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III</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 xml:space="preserve">Volatile Organic Compound (VOC) Emissions From the Synthetic Organic Chemical </w:t>
                  </w:r>
                  <w:r w:rsidRPr="00C342CD">
                    <w:rPr>
                      <w:rFonts w:ascii="Arial" w:eastAsia="Times New Roman" w:hAnsi="Arial" w:cs="Arial"/>
                      <w:sz w:val="14"/>
                      <w:szCs w:val="14"/>
                    </w:rPr>
                    <w:lastRenderedPageBreak/>
                    <w:t>Manufacturing Industry (SOCMI) Air Oxidation Unit Processes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lastRenderedPageBreak/>
                    <w:t>JJJ</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Petroleum Dry Cleaners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KKK</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Equipment Leaks of VOC From Onshore Natural Gas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LLL</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Onshore Natural Gas Processing: SO2 Emissions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MMM</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NNN</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Compound (VOC) Emissions From Synthetic Organic Chemical Manufacturing Industry (SOCMI) Distillation Operations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OOO</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Nonmetallic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PPP</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Wool Fiberglass Insulation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QQQ</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VOC Emissions From Petroleum Refinery Wastewater Systems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RRR</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Compound Emissions from Synthetic Organic Chemical Manufacturing Industry (SOCMI) Reactor Processes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SSS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Magnetic Tape Coating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TTT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Industrial Surface Coating: Surface Coating of Plastic Parts for Business Machines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UUU</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Calciners and Dryers in Mineral Industries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VVV</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Polymeric Coating of Supporting Substrates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WWW</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Municipal Solid Waste Landfills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bl>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(ii) [Reserved]</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(iii) Delegations for Glenn County Air Pollution Control District, Great Basin Unified Air Pollution Control District, Imperial County Air Pollution Control District, and Kern County Air Pollution Control District are shown in the following table:</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b/>
                <w:bCs/>
                <w:smallCaps/>
                <w:sz w:val="14"/>
                <w:szCs w:val="14"/>
              </w:rPr>
            </w:pPr>
            <w:r w:rsidRPr="00C342CD">
              <w:rPr>
                <w:rFonts w:ascii="Arial" w:eastAsia="Times New Roman" w:hAnsi="Arial" w:cs="Arial"/>
                <w:b/>
                <w:bCs/>
                <w:smallCaps/>
                <w:sz w:val="14"/>
                <w:szCs w:val="14"/>
              </w:rPr>
              <w:t>Delegation Status for New Source Performance Standards for Glenn County APCD, Great Basin Unified APCD, Imperial County APCD, and Kern County APCD</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428"/>
              <w:gridCol w:w="5420"/>
              <w:gridCol w:w="690"/>
              <w:gridCol w:w="1019"/>
              <w:gridCol w:w="957"/>
              <w:gridCol w:w="836"/>
            </w:tblGrid>
            <w:tr w:rsidR="00C342CD" w:rsidRPr="00C342CD" w:rsidTr="00C342CD">
              <w:trPr>
                <w:jc w:val="center"/>
              </w:trPr>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   </w:t>
                  </w:r>
                </w:p>
              </w:tc>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Subpart</w:t>
                  </w:r>
                </w:p>
              </w:tc>
              <w:tc>
                <w:tcPr>
                  <w:tcW w:w="0" w:type="auto"/>
                  <w:gridSpan w:val="4"/>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Air pollution control agency</w:t>
                  </w:r>
                </w:p>
              </w:tc>
            </w:tr>
            <w:tr w:rsidR="00C342CD" w:rsidRPr="00C342CD" w:rsidTr="00C342CD">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342CD" w:rsidRPr="00C342CD" w:rsidRDefault="00C342CD" w:rsidP="00C342CD">
                  <w:pPr>
                    <w:spacing w:after="0" w:line="240" w:lineRule="auto"/>
                    <w:rPr>
                      <w:rFonts w:ascii="Arial" w:eastAsia="Times New Roman" w:hAnsi="Arial" w:cs="Arial"/>
                      <w:b/>
                      <w:bCs/>
                      <w:sz w:val="14"/>
                      <w:szCs w:val="1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342CD" w:rsidRPr="00C342CD" w:rsidRDefault="00C342CD" w:rsidP="00C342CD">
                  <w:pPr>
                    <w:spacing w:after="0" w:line="240" w:lineRule="auto"/>
                    <w:rPr>
                      <w:rFonts w:ascii="Arial" w:eastAsia="Times New Roman" w:hAnsi="Arial" w:cs="Arial"/>
                      <w:b/>
                      <w:bCs/>
                      <w:sz w:val="14"/>
                      <w:szCs w:val="14"/>
                    </w:rPr>
                  </w:pP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Glenn</w:t>
                  </w:r>
                  <w:r w:rsidRPr="00C342CD">
                    <w:rPr>
                      <w:rFonts w:ascii="Arial" w:eastAsia="Times New Roman" w:hAnsi="Arial" w:cs="Arial"/>
                      <w:b/>
                      <w:bCs/>
                      <w:sz w:val="14"/>
                      <w:szCs w:val="14"/>
                    </w:rPr>
                    <w:br/>
                    <w:t>County APCD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Great Basin Unified APCD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Imperial County APCD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Kern County APCD</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General Provisions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Fossil-Fuel Fired Steam Generators Constructed After August 17, 1971</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Electric Utility Steam Generating Units Constructed After September 18, 1978</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Industrial-Commercial-Institutional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Small Industrial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Incinerators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Municipal Waste Combustors Constructed After December 20, 1989 and On or Before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Municipal Waste Combustors Constructed After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Hospital/Medical/Infectious Waste Incinerators for Which Construction is Commenced After June 20, 1996</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Portland Cement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Nitric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Sulfuric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lastRenderedPageBreak/>
                    <w:t>I</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Hot Mix Asphalt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J</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Storage Vessels for Petroleum Liquids for Which Construction, Reconstruction, or Modification Commenced After June 11, 1973, and Prior to May 19, 1978</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Storage Vessels for Petroleum Liquids for Which Construction, Reconstruction, or Modification Commenced After May 18, 1978, and Prior to July 23, 1984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Liquid Storage Vessels (Including Petroleum Liquid Storage Vessels) for Which Construction, Reconstruction, or Modification Commenced After July 23, 1984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Secondary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Secondary Brass and Bronze Production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Emissions from Basic Oxygen Process Furnaces for Which Construction is Commenced After June 11, 1973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Secondary Emissions from Basic Oxygen Process Steelmaking Facilities for Which Construction is Commenced After January 20, 1983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Sewage Treatment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Copper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Q</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Zinc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Aluminum Reduction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Wet Process 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U</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Superphosphoric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Diammonium 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Triple Superphosphate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Granular Triple Superphosphate Storage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Coal Preparation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Z</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Ferroalloy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Steel Plants: Electric Arc Furnaces Constructed After October 21, 1974 and On or Before August 17, 1983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Steel Plants: Electric Arc Furnaces and Argon-Oxygen Decarburization Vessels Constructed After August 7, 1983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Kraft pulp Mills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Glass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Grain Elevators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Surface Coating of Metal Furniture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FF</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Stationary Gas Turbines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HH</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Lime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KK</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Lead-Acid Battery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LL</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MM</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Automobile and Light Duty Trucks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NN</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Rock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lastRenderedPageBreak/>
                    <w:t>PP</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Ammonium Sulfate Manufacture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QQ</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Graphic Arts Industry: Publication Rotogravure Printing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RR</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Pressure Sensitive Tape and Label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Industrial Surface Coating: Large Appliances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TT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Metal Coil Surface Coating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UU</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Asphalt Processing and Asphalt Roofing Manufacture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VV</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Equipment Leaks of VOC in the Synthetic Organic Chemicals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WW</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Beverage Can Surface Coating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Bulk Gasoline Terminals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New Residential Wool Heaters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BBB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Rubber Tire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CCC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DDD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Compounds (VOC) Emissions from the Polymer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EEE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FFF</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Flexible Vinyl and Urethane Coating and Printing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GGG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Equipment Leaks of VOC in 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HHH</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Synthetic Fiber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III</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Compound (VOC) Emissions From the Synthetic Organic Chemical Manufacturing Industry (SOCMI) Air Oxidation Unit Processes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JJJ</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Petroleum Dry Cleaners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KKK</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Equipment Leaks of VOC From Onshore Natural Gas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LLL</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Onshore Natural Gas Processing: SO2 Emissions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MMM</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NNN</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Compound (VOC) Emissions From Synthetic Organic Chemical Manufacturing Industry (SOCMI) Distillation Operations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OOO</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Nonmetallic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PPP</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Wool Fiberglass Insulation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QQQ</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VOC Emissions From Petroleum Refinery Wastewater Systems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RRR</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Compound Emissions from Synthetic Organic Chemical Manufacturing Industry (SOCMI) Reactor Processes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SSS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Magnetic Tape Coating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TTT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Industrial Surface Coating: Surface Coating of Plastic Parts for Business Machines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  </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UUU</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Calciners and Dryers in Mineral Industries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VVV</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Polymeric Coating of Supporting Substrates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WWW</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Municipal Solid Waste Landfills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bl>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(iv) Delegations for Lake County Air Quality Management District, Lassen County Air Pollution Control District, Mariposa County Air Pollution Control District, and Mendocino County Air Pollution Control District are shown in the following table:</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b/>
                <w:bCs/>
                <w:smallCaps/>
                <w:sz w:val="14"/>
                <w:szCs w:val="14"/>
              </w:rPr>
            </w:pPr>
            <w:r w:rsidRPr="00C342CD">
              <w:rPr>
                <w:rFonts w:ascii="Arial" w:eastAsia="Times New Roman" w:hAnsi="Arial" w:cs="Arial"/>
                <w:b/>
                <w:bCs/>
                <w:smallCaps/>
                <w:sz w:val="14"/>
                <w:szCs w:val="14"/>
              </w:rPr>
              <w:t>Delegation Status for New Source Performance Standards for Lake County Air Quality Management District, Lassen County Air Pollution Control District, Mariposa County Air Pollution Control District, and Mendocino County Air Pollution Control District</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427"/>
              <w:gridCol w:w="5087"/>
              <w:gridCol w:w="819"/>
              <w:gridCol w:w="869"/>
              <w:gridCol w:w="1012"/>
              <w:gridCol w:w="1136"/>
            </w:tblGrid>
            <w:tr w:rsidR="00C342CD" w:rsidRPr="00C342CD" w:rsidTr="00C342CD">
              <w:trPr>
                <w:jc w:val="center"/>
              </w:trPr>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lastRenderedPageBreak/>
                    <w:t>   </w:t>
                  </w:r>
                </w:p>
              </w:tc>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Subpart</w:t>
                  </w:r>
                </w:p>
              </w:tc>
              <w:tc>
                <w:tcPr>
                  <w:tcW w:w="0" w:type="auto"/>
                  <w:gridSpan w:val="4"/>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Air pollution control agency</w:t>
                  </w:r>
                </w:p>
              </w:tc>
            </w:tr>
            <w:tr w:rsidR="00C342CD" w:rsidRPr="00C342CD" w:rsidTr="00C342CD">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342CD" w:rsidRPr="00C342CD" w:rsidRDefault="00C342CD" w:rsidP="00C342CD">
                  <w:pPr>
                    <w:spacing w:after="0" w:line="240" w:lineRule="auto"/>
                    <w:rPr>
                      <w:rFonts w:ascii="Arial" w:eastAsia="Times New Roman" w:hAnsi="Arial" w:cs="Arial"/>
                      <w:b/>
                      <w:bCs/>
                      <w:sz w:val="14"/>
                      <w:szCs w:val="1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342CD" w:rsidRPr="00C342CD" w:rsidRDefault="00C342CD" w:rsidP="00C342CD">
                  <w:pPr>
                    <w:spacing w:after="0" w:line="240" w:lineRule="auto"/>
                    <w:rPr>
                      <w:rFonts w:ascii="Arial" w:eastAsia="Times New Roman" w:hAnsi="Arial" w:cs="Arial"/>
                      <w:b/>
                      <w:bCs/>
                      <w:sz w:val="14"/>
                      <w:szCs w:val="14"/>
                    </w:rPr>
                  </w:pP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Lake County AQMD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Lassen County APCD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Mariposa County AQMD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Mendocino County AQMD</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General Provisions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Fossil-Fuel Fired Steam Generators Constructed After August 17, 1971</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Electric Utility Steam Generating Units Constructed After September 18, 1978</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Industrial-Commercial-Institutional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Small Industrial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Incinerators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Municipal Waste Combustors Constructed After December 20, 1989 and On or Before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Municipal Waste Combustors Constructed After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Hospital/Medical/Infectious Waste Incinerators for Which Construction is Commenced After June 20, 1996</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Portland Cement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Nitric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Sulfuric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Hot Mix Asphalt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J</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Storage Vessels for Petroleum Liquids for Which Construction, Reconstruction, or Modification Commenced After June 11, 1973, and Prior to May 19, 1978</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Storage Vessels for Petroleum Liquids for Which Construction, Reconstruction, or Modification Commenced After May 18, 1978, and Prior to July 23, 1984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Liquid Storage Vessels (Including Petroleum Liquid Storage Vessels) for Which Construction, Reconstruction, or Modification Commenced After July 23, 1984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Secondary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Secondary Brass and Bronze Production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Emissions from Basic Oxygen Process Furnaces for Which Construction is Commenced After June 11, 1973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Secondary Emissions from Basic Oxygen Process Steelmaking Facilities for Which Construction is Commenced After January 20, 1983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Sewage Treatment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Copper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Q</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Zinc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Aluminum Reduction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Wet Process 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U</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Superphosphoric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Diammonium 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Triple Superphosphate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Granular Triple Superphosphate Storage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lastRenderedPageBreak/>
                    <w:t>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Coal Preparation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Z</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Ferroalloy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Steel Plants: Electric Arc Furnaces Constructed After October 21, 1974 and On or Before August 17, 1983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Steel Plants: Electric Arc Furnaces and Argon-Oxygen Decarburization Vessels Constructed After August 7, 1983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Kraft Pulp Mills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Glass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Grain Elevators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Surface Coating of Metal Furniture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FF</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Stationary Gas Turbines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HH</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Lime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KK</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Lead-Acid Battery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LL</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MM</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Automobile and Light Duty Trucks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NN</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Rock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PP</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Ammonium Sulfate Manufacture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QQ</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Graphic Arts Industry: Publication Rotogravure Printing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RR</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Pressure Sensitive Tape and Label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Industrial Surface Coating: Large Appliances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TT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Metal Coil Surface Coating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UU</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Asphalt Processing and Asphalt Roofing Manufacture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VV</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Equipment Leaks of VOC in the Synthetic Organic Chemicals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WW</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Beverage Can Surface Coating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Bulk Gasoline Terminals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New Residential Wool Heaters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BBB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Rubber Tire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CCC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DDD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Compounds (VOC) Emissions from the Polymer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EEE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FFF</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Flexible Vinyl and Urethane Coating and Printing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GGG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Equipment Leaks of VOC in 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HHH</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Synthetic Fiber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III</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Compound (VOC) Emissions From the Synthetic Organic Chemical Manufacturing Industry (SOCMI) Air Oxidation Unit Processes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JJJ</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Petroleum Dry Cleaners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KKK</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Equipment Leaks of VOC From Onshore Natural Gas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LLL</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Onshore Natural Gas Processing: SO2 Emissions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lastRenderedPageBreak/>
                    <w:t>MMM</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NNN</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Compound (VOC) Emissions From Synthetic Organic Chemical Manufacturing Industry (SOCMI) Distillation Operations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OOO</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Nonmetallic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PPP</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Wool Fiberglass Insulation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QQQ</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VOC Emissions From Petroleum Refinery Wastewater Systems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RRR</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Compound Emissions from Synthetic Organic Chemical Manufacturing Industry (SOCMI) Reactor Processes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SSS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Magnetic Tape Coating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TTT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Industrial Surface Coating: Surface Coating of Plastic Parts for Business Machines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UUU</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Calciners and Dryers in Mineral Industries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VVV</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Polymeric Coating of Supporting Substrates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WWW</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Municipal Solid Waste Landfills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bl>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(v) Delegations for Modoc County Air Pollution Control District, Mojave Desert Air Quality Management District, Monterey Bay Unified Air Pollution Control District, and North Coast Unified Air Pollution Control District are shown in the following table:</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b/>
                <w:bCs/>
                <w:smallCaps/>
                <w:sz w:val="14"/>
                <w:szCs w:val="14"/>
              </w:rPr>
            </w:pPr>
            <w:r w:rsidRPr="00C342CD">
              <w:rPr>
                <w:rFonts w:ascii="Arial" w:eastAsia="Times New Roman" w:hAnsi="Arial" w:cs="Arial"/>
                <w:b/>
                <w:bCs/>
                <w:smallCaps/>
                <w:sz w:val="14"/>
                <w:szCs w:val="14"/>
              </w:rPr>
              <w:t>Delegation Status for New Source Performance Standards for Modoc County Air Pollution Control District, Mojave Desert Air Quality Management District, Monterey Bay Unified Air Pollution Control District, and North Coast Unified Air Pollution Control District</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427"/>
              <w:gridCol w:w="5100"/>
              <w:gridCol w:w="858"/>
              <w:gridCol w:w="856"/>
              <w:gridCol w:w="1117"/>
              <w:gridCol w:w="992"/>
            </w:tblGrid>
            <w:tr w:rsidR="00C342CD" w:rsidRPr="00C342CD" w:rsidTr="00C342CD">
              <w:trPr>
                <w:jc w:val="center"/>
              </w:trPr>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   </w:t>
                  </w:r>
                </w:p>
              </w:tc>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Subpart</w:t>
                  </w:r>
                </w:p>
              </w:tc>
              <w:tc>
                <w:tcPr>
                  <w:tcW w:w="0" w:type="auto"/>
                  <w:gridSpan w:val="4"/>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Air pollution control agency</w:t>
                  </w:r>
                </w:p>
              </w:tc>
            </w:tr>
            <w:tr w:rsidR="00C342CD" w:rsidRPr="00C342CD" w:rsidTr="00C342CD">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342CD" w:rsidRPr="00C342CD" w:rsidRDefault="00C342CD" w:rsidP="00C342CD">
                  <w:pPr>
                    <w:spacing w:after="0" w:line="240" w:lineRule="auto"/>
                    <w:rPr>
                      <w:rFonts w:ascii="Arial" w:eastAsia="Times New Roman" w:hAnsi="Arial" w:cs="Arial"/>
                      <w:b/>
                      <w:bCs/>
                      <w:sz w:val="14"/>
                      <w:szCs w:val="1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342CD" w:rsidRPr="00C342CD" w:rsidRDefault="00C342CD" w:rsidP="00C342CD">
                  <w:pPr>
                    <w:spacing w:after="0" w:line="240" w:lineRule="auto"/>
                    <w:rPr>
                      <w:rFonts w:ascii="Arial" w:eastAsia="Times New Roman" w:hAnsi="Arial" w:cs="Arial"/>
                      <w:b/>
                      <w:bCs/>
                      <w:sz w:val="14"/>
                      <w:szCs w:val="14"/>
                    </w:rPr>
                  </w:pP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Modoc County APCD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Mojave Desert AQMD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Monterey Bay Unified APCD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North Coast Unified AQMD</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General Provisions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Fossil-Fuel Fired Steam Generators Constructed After August 17, 1971</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Electric Utility Steam Generating Units Constructed After September 18, 1978</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Industrial-Commercial-Institutional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Small Industrial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Incinerators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Municipal Waste Combustors Constructed After December 20, 1989 and On or Before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Municipal Waste Combustors Constructed After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Hospital/Medical/Infectious Waste Incinerators for Which Construction is Commenced After June 20, 1996</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Portland Cement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Nitric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Sulfuric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Hot Mix Asphalt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J</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Storage Vessels for Petroleum Liquids for Which Construction, Reconstruction, or Modification Commenced After June 11, 1973, and Prior to May 19, 1978</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Storage Vessels for Petroleum Liquids for Which Construction, Reconstruction, or Modification Commenced After May 18, 1978, and Prior to July 23, 1984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lastRenderedPageBreak/>
                    <w:t>Kb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Liquid Storage Vessels (Including Petroleum Liquid Storage Vessels) for Which Construction, Reconstruction, or Modification Commenced After July 23, 1984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Secondary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Secondary Brass and Bronze Production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Emissions from Basic Oxygen Process Furnaces for Which Construction is Commenced After June 11, 1973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Secondary Emissions from Basic Oxygen Process Steelmaking Facilities for Which Construction is Commenced After January 20, 1983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Sewage Treatment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Copper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Q</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Zinc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Aluminum Reduction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Wet Process 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U</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Superphosphoric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Diammonium 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Triple Superphosphate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Granular Triple Superphosphate Storage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Coal Preparation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Z</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Ferroalloy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Steel Plants: Electric Arc Furnaces Constructed After October 21, 1974 and On or Before August 17, 1983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Steel Plants: Electric Arc Furnaces and Argon-Oxygen Decarburization Vessels Constructed After August 7, 1983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Kraft pulp Mills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Glass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Grain Elevators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Surface Coating of Metal Furniture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FF</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Stationary Gas Turbines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HH</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Lime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KK</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Lead-Acid Battery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LL</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MM</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Automobile and Light Duty Trucks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NN</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Rock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PP</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Ammonium Sulfate Manufacture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QQ</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Graphic Arts Industry: Publication Rotogravure Printing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RR</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Pressure Sensitive Tape and Label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Industrial Surface Coating: Large Appliances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TT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Metal Coil Surface Coating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lastRenderedPageBreak/>
                    <w:t>UU</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Asphalt Processing and Asphalt Roofing Manufacture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VV</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Equipment Leaks of VOC in the Synthetic Organic Chemicals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WW</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Beverage Can Surface Coating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Bulk Gasoline Terminals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New Residential Wool Heaters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BBB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Rubber Tire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CCC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DDD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Compounds (VOC) Emissions from the Polymer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EEE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FFF</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Flexible Vinyl and Urethane Coating and Printing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GGG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Equipment Leaks of VOC in 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HHH</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Synthetic Fiber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III</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Compound (VOC) Emissions From the Synthetic Organic Chemical Manufacturing Industry (SOCMI) Air Oxidation Unit Processes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JJJ</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Petroleum Dry Cleaners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KKK</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Equipment Leaks of VOC From Onshore Natural Gas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LLL</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Onshore Natural Gas Processing: SO2 Emissions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MMM</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NNN</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Compound (VOC) Emissions From Synthetic Organic Chemical Manufacturing Industry (SOCMI) Distillation Operations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OOO</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Nonmetallic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PPP</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Wool Fiberglass Insulation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QQQ</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VOC Emissions From Petroleum Refinery Wastewater Systems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RRR</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Compound Emissions from Synthetic Organic Chemical Manufacturing Industry (SOCMI) Reactor Processes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SSS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Magnetic Tape Coating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TTT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Industrial Surface Coating: Surface Coating of Plastic Parts for Business Machines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UUU</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Calciners and Dryers in Mineral Industries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VVV</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Polymeric Coating of Supporting Substrates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WWW</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Municipal Solid Waste Landfills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bl>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(vi) Delegations for Northern Sierra Air Quality Management District, Northern Sonoma County Air Pollution Control District, Placer County Air Pollution Control District, and Sacramento Metropolitan Air Quality Management District are shown in the following table:</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b/>
                <w:bCs/>
                <w:smallCaps/>
                <w:sz w:val="14"/>
                <w:szCs w:val="14"/>
              </w:rPr>
            </w:pPr>
            <w:r w:rsidRPr="00C342CD">
              <w:rPr>
                <w:rFonts w:ascii="Arial" w:eastAsia="Times New Roman" w:hAnsi="Arial" w:cs="Arial"/>
                <w:b/>
                <w:bCs/>
                <w:smallCaps/>
                <w:sz w:val="14"/>
                <w:szCs w:val="14"/>
              </w:rPr>
              <w:t>Delegation Status for New Source Performance Standards for Northern Sierra Air Quality Management District, Northern Sonoma County Air Pollution Control District, Placer County Air Pollution Control District, and Sacramento Metropolitan Air Quality Management District</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428"/>
              <w:gridCol w:w="4744"/>
              <w:gridCol w:w="923"/>
              <w:gridCol w:w="1138"/>
              <w:gridCol w:w="811"/>
              <w:gridCol w:w="1306"/>
            </w:tblGrid>
            <w:tr w:rsidR="00C342CD" w:rsidRPr="00C342CD" w:rsidTr="00C342CD">
              <w:trPr>
                <w:jc w:val="center"/>
              </w:trPr>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   </w:t>
                  </w:r>
                </w:p>
              </w:tc>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Subpart</w:t>
                  </w:r>
                </w:p>
              </w:tc>
              <w:tc>
                <w:tcPr>
                  <w:tcW w:w="0" w:type="auto"/>
                  <w:gridSpan w:val="4"/>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Air pollution control agency</w:t>
                  </w:r>
                </w:p>
              </w:tc>
            </w:tr>
            <w:tr w:rsidR="00C342CD" w:rsidRPr="00C342CD" w:rsidTr="00C342CD">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342CD" w:rsidRPr="00C342CD" w:rsidRDefault="00C342CD" w:rsidP="00C342CD">
                  <w:pPr>
                    <w:spacing w:after="0" w:line="240" w:lineRule="auto"/>
                    <w:rPr>
                      <w:rFonts w:ascii="Arial" w:eastAsia="Times New Roman" w:hAnsi="Arial" w:cs="Arial"/>
                      <w:b/>
                      <w:bCs/>
                      <w:sz w:val="14"/>
                      <w:szCs w:val="1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342CD" w:rsidRPr="00C342CD" w:rsidRDefault="00C342CD" w:rsidP="00C342CD">
                  <w:pPr>
                    <w:spacing w:after="0" w:line="240" w:lineRule="auto"/>
                    <w:rPr>
                      <w:rFonts w:ascii="Arial" w:eastAsia="Times New Roman" w:hAnsi="Arial" w:cs="Arial"/>
                      <w:b/>
                      <w:bCs/>
                      <w:sz w:val="14"/>
                      <w:szCs w:val="14"/>
                    </w:rPr>
                  </w:pP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Northern Sierra AQMD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Northern Sonoma County APCD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Placer County APCD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Sacramento Metropolitan AQMD</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lastRenderedPageBreak/>
                    <w:t>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General Provisions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Fossil-Fuel Fired Steam Generators Constructed After August 17, 1971</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Electric Utility Steam Generating Units Constructed After September 18, 1978</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Industrial-Commercial-Institutional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Small Industrial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Incinerators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Municipal Waste Combustors Constructed After December 20, 1989 and On or Before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Municipal Waste Combustors Constructed After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Hospital/Medical/Infectious Waste Incinerators for Which Construction is Commenced After June 20, 1996</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Portland Cement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Nitric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Sulfuric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Hot Mix Asphalt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J</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Storage Vessels for Petroleum Liquids for Which Construction, Reconstruction, or Modification Commenced After June 11, 1973, and Prior to May 19, 1978</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Storage Vessels for Petroleum Liquids for Which Construction, Reconstruction, or Modification Commenced After May 18, 1978, and Prior to July 23, 1984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Liquid Storage Vessels (Including Petroleum Liquid Storage Vessels) for Which Construction, Reconstruction, or Modification Commenced After July 23, 1984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Secondary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Secondary Brass and Bronze Production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Emissions from Basic Oxygen Process Furnaces for Which Construction is Commenced After June 11, 1973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Secondary Emissions from Basic Oxygen Process Steelmaking Facilities for Which Construction is Commenced After January 20, 1983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Sewage Treatment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Copper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Q</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Zinc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Aluminum Reduction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Wet Process 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U</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Superphosphoric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Diammonium 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Triple Superphosphate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Granular Triple Superphosphate Storage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Coal Preparation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lastRenderedPageBreak/>
                    <w:t>Z</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Ferroalloy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Steel Plants: Electric Arc Furnaces Constructed After October 21, 1974 and On or Before August 17, 1983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Steel Plants: Electric Arc Furnaces and Argon-Oxygen Decarburization Vessels Constructed After August 7, 1983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Kraft pulp Mills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Glass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Grain Elevators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Surface Coating of Metal Furniture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FF</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Stationary Gas Turbines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HH</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Lime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KK</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Lead-Acid Battery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LL</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MM</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Automobile and Light Duty Trucks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NN</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Rock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PP</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Ammonium Sulfate Manufacture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QQ</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Graphic Arts Industry: Publication Rotogravure Printing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RR</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Pressure Sensitive Tape and Label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Industrial Surface Coating: Large Appliances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TT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Metal Coil Surface Coating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UU</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Asphalt Processing and Asphalt Roofing Manufacture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VV</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Equipment Leaks of VOC in the Synthetic Organic Chemicals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WW</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Beverage Can Surface Coating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Bulk Gasoline Terminals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New Residential Wool Heaters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BBB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Rubber Tire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CCC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DDD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Compounds (VOC) Emissions from the Polymer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EEE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FFF</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Flexible Vinyl and Urethane Coating and Printing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GGG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Equipment Leaks of VOC in 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HHH</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Synthetic Fiber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III</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Compound (VOC) Emissions From the Synthetic Organic Chemical Manufacturing Industry (SOCMI) Air Oxidation Unit Processes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JJJ</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Petroleum Dry Cleaners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KKK</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Equipment Leaks of VOC From Onshore Natural Gas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LLL</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Onshore Natural Gas Processing: SO2 Emissions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MMM</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lastRenderedPageBreak/>
                    <w:t>NNN</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Compound (VOC) Emissions From Synthetic Organic Chemical Manufacturing Industry (SOCMI) Distillation Operations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OOO</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Nonmetallic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PPP</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Wool Fiberglass Insulation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QQQ</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VOC Emissions From Petroleum Refinery Wastewater Systems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RRR</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Compound Emissions from Synthetic Organic Chemical Manufacturing Industry (SOCMI) Reactor Processes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SSS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Magnetic Tape Coating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TTT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Industrial Surface Coating: Surface Coating of Plastic Parts for Business Machines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UUU</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Calciners and Dryers in Mineral Industries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VVV</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Polymeric Coating of Supporting Substrates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WWW</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Municipal Solid Waste Landfills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bl>
          <w:p w:rsid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(vii) Delegations for San Diego County Air Pollution Control District, San Joaquin Valley Unified Air Pollution Control District, San Luis Obispo County Air Pollution Control District, and Santa Barbara County Air Pollution Control District are shown in the following table:</w:t>
            </w:r>
          </w:p>
          <w:p w:rsidR="00243D64" w:rsidRDefault="00243D64" w:rsidP="00C342CD">
            <w:pPr>
              <w:spacing w:before="100" w:beforeAutospacing="1" w:after="100" w:afterAutospacing="1" w:line="240" w:lineRule="auto"/>
              <w:ind w:firstLine="480"/>
              <w:jc w:val="center"/>
              <w:rPr>
                <w:rFonts w:ascii="Arial" w:eastAsia="Times New Roman" w:hAnsi="Arial" w:cs="Arial"/>
                <w:sz w:val="14"/>
                <w:szCs w:val="14"/>
              </w:rPr>
            </w:pPr>
          </w:p>
          <w:p w:rsidR="00243D64" w:rsidRDefault="00243D64" w:rsidP="00C342CD">
            <w:pPr>
              <w:spacing w:before="100" w:beforeAutospacing="1" w:after="100" w:afterAutospacing="1" w:line="240" w:lineRule="auto"/>
              <w:ind w:firstLine="480"/>
              <w:jc w:val="center"/>
              <w:rPr>
                <w:rFonts w:ascii="Arial" w:eastAsia="Times New Roman" w:hAnsi="Arial" w:cs="Arial"/>
                <w:sz w:val="14"/>
                <w:szCs w:val="14"/>
              </w:rPr>
            </w:pPr>
          </w:p>
          <w:p w:rsidR="00243D64" w:rsidRDefault="00243D64" w:rsidP="00C342CD">
            <w:pPr>
              <w:spacing w:before="100" w:beforeAutospacing="1" w:after="100" w:afterAutospacing="1" w:line="240" w:lineRule="auto"/>
              <w:ind w:firstLine="480"/>
              <w:jc w:val="center"/>
              <w:rPr>
                <w:rFonts w:ascii="Arial" w:eastAsia="Times New Roman" w:hAnsi="Arial" w:cs="Arial"/>
                <w:sz w:val="14"/>
                <w:szCs w:val="14"/>
              </w:rPr>
            </w:pPr>
          </w:p>
          <w:p w:rsidR="00243D64" w:rsidRPr="00C342CD" w:rsidRDefault="00243D64" w:rsidP="00C342CD">
            <w:pPr>
              <w:spacing w:before="100" w:beforeAutospacing="1" w:after="100" w:afterAutospacing="1" w:line="240" w:lineRule="auto"/>
              <w:ind w:firstLine="480"/>
              <w:jc w:val="center"/>
              <w:rPr>
                <w:rFonts w:ascii="Arial" w:eastAsia="Times New Roman" w:hAnsi="Arial" w:cs="Arial"/>
                <w:sz w:val="14"/>
                <w:szCs w:val="14"/>
              </w:rPr>
            </w:pP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b/>
                <w:bCs/>
                <w:smallCaps/>
                <w:sz w:val="14"/>
                <w:szCs w:val="14"/>
              </w:rPr>
            </w:pPr>
            <w:r w:rsidRPr="00C342CD">
              <w:rPr>
                <w:rFonts w:ascii="Arial" w:eastAsia="Times New Roman" w:hAnsi="Arial" w:cs="Arial"/>
                <w:b/>
                <w:bCs/>
                <w:smallCaps/>
                <w:sz w:val="14"/>
                <w:szCs w:val="14"/>
              </w:rPr>
              <w:t>Delegation Status for New Source Performance Standards for San Diego County Air Pollution Control District, San Joaquin Valley Unified Air Pollution Control District, San Luis Obispo County Air Pollution Control District, and Santa Barbara County Air Pollution Control District</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466"/>
              <w:gridCol w:w="5438"/>
              <w:gridCol w:w="901"/>
              <w:gridCol w:w="814"/>
              <w:gridCol w:w="1041"/>
              <w:gridCol w:w="690"/>
            </w:tblGrid>
            <w:tr w:rsidR="00C342CD" w:rsidRPr="00C342CD" w:rsidTr="00C342CD">
              <w:trPr>
                <w:jc w:val="center"/>
              </w:trPr>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   </w:t>
                  </w:r>
                </w:p>
              </w:tc>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Subpart</w:t>
                  </w:r>
                </w:p>
              </w:tc>
              <w:tc>
                <w:tcPr>
                  <w:tcW w:w="0" w:type="auto"/>
                  <w:gridSpan w:val="4"/>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Air Pollution Control Agency</w:t>
                  </w:r>
                </w:p>
              </w:tc>
            </w:tr>
            <w:tr w:rsidR="00C342CD" w:rsidRPr="00C342CD" w:rsidTr="00C342CD">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342CD" w:rsidRPr="00C342CD" w:rsidRDefault="00C342CD" w:rsidP="00C342CD">
                  <w:pPr>
                    <w:spacing w:after="0" w:line="240" w:lineRule="auto"/>
                    <w:rPr>
                      <w:rFonts w:ascii="Arial" w:eastAsia="Times New Roman" w:hAnsi="Arial" w:cs="Arial"/>
                      <w:b/>
                      <w:bCs/>
                      <w:sz w:val="14"/>
                      <w:szCs w:val="1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342CD" w:rsidRPr="00C342CD" w:rsidRDefault="00C342CD" w:rsidP="00C342CD">
                  <w:pPr>
                    <w:spacing w:after="0" w:line="240" w:lineRule="auto"/>
                    <w:rPr>
                      <w:rFonts w:ascii="Arial" w:eastAsia="Times New Roman" w:hAnsi="Arial" w:cs="Arial"/>
                      <w:b/>
                      <w:bCs/>
                      <w:sz w:val="14"/>
                      <w:szCs w:val="14"/>
                    </w:rPr>
                  </w:pP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San Diego County APCD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lang w:val="es-MX"/>
                    </w:rPr>
                  </w:pPr>
                  <w:r w:rsidRPr="00C342CD">
                    <w:rPr>
                      <w:rFonts w:ascii="Arial" w:eastAsia="Times New Roman" w:hAnsi="Arial" w:cs="Arial"/>
                      <w:b/>
                      <w:bCs/>
                      <w:sz w:val="14"/>
                      <w:szCs w:val="14"/>
                      <w:lang w:val="es-MX"/>
                    </w:rPr>
                    <w:t>San Joaquin Valley</w:t>
                  </w:r>
                  <w:r w:rsidRPr="00C342CD">
                    <w:rPr>
                      <w:rFonts w:ascii="Arial" w:eastAsia="Times New Roman" w:hAnsi="Arial" w:cs="Arial"/>
                      <w:b/>
                      <w:bCs/>
                      <w:sz w:val="14"/>
                      <w:szCs w:val="14"/>
                      <w:lang w:val="es-MX"/>
                    </w:rPr>
                    <w:br/>
                    <w:t>Unified</w:t>
                  </w:r>
                  <w:r w:rsidRPr="00C342CD">
                    <w:rPr>
                      <w:rFonts w:ascii="Arial" w:eastAsia="Times New Roman" w:hAnsi="Arial" w:cs="Arial"/>
                      <w:b/>
                      <w:bCs/>
                      <w:sz w:val="14"/>
                      <w:szCs w:val="14"/>
                      <w:lang w:val="es-MX"/>
                    </w:rPr>
                    <w:br/>
                    <w:t>APCD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lang w:val="es-MX"/>
                    </w:rPr>
                  </w:pPr>
                  <w:r w:rsidRPr="00C342CD">
                    <w:rPr>
                      <w:rFonts w:ascii="Arial" w:eastAsia="Times New Roman" w:hAnsi="Arial" w:cs="Arial"/>
                      <w:b/>
                      <w:bCs/>
                      <w:sz w:val="14"/>
                      <w:szCs w:val="14"/>
                      <w:lang w:val="es-MX"/>
                    </w:rPr>
                    <w:t>San Luis Obispo County APCD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Santa</w:t>
                  </w:r>
                  <w:r w:rsidRPr="00C342CD">
                    <w:rPr>
                      <w:rFonts w:ascii="Arial" w:eastAsia="Times New Roman" w:hAnsi="Arial" w:cs="Arial"/>
                      <w:b/>
                      <w:bCs/>
                      <w:sz w:val="14"/>
                      <w:szCs w:val="14"/>
                    </w:rPr>
                    <w:br/>
                    <w:t>Barbara</w:t>
                  </w:r>
                  <w:r w:rsidRPr="00C342CD">
                    <w:rPr>
                      <w:rFonts w:ascii="Arial" w:eastAsia="Times New Roman" w:hAnsi="Arial" w:cs="Arial"/>
                      <w:b/>
                      <w:bCs/>
                      <w:sz w:val="14"/>
                      <w:szCs w:val="14"/>
                    </w:rPr>
                    <w:br/>
                    <w:t>County APCD</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General Provisions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Fossil-Fuel Fired Steam Generators Constructed After August 17, 1971</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Electric Utility Steam Generating Units Constructed After September 18, 1978</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Industrial-Commercial-Institutional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Small Industrial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Incinerators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Municipal Waste Combustors Constructed After December 20, 1989, and On or Before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Municipal Waste Combustors Constructed After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Hospital/Medical/Infectious Waste Incinerators for Which Construction is Commenced After June 20, 1996</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Portland Cement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Nitric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lastRenderedPageBreak/>
                    <w:t>H</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Sulfuric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Hot Mix Asphalt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J</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Ja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Petroleum Refineries for Which Construction, Reconstruction, or Modification Commenced After May 14, 2007</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Storage Vessels for Petroleum Liquids for Which Construction, Reconstruction, or Modification Commenced After June 11, 1973, and Prior to May 19, 1978</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Storage Vessels for Petroleum Liquids for Which Construction, Reconstruction, or Modification Commenced After May 18, 1978, and Prior to July 23, 1984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Liquid Storage Vessels (Including Petroleum Liquid Storage Vessels) for Which Construction, Reconstruction, or Modification Commenced After July 23, 1984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Secondary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Secondary Brass and Bronze Production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Emissions from Basic Oxygen Process Furnaces for Which Construction is Commenced After June 11, 1973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Secondary Emissions from Basic Oxygen Process Steelmaking Facilities for Which Construction is Commenced After January 20, 1983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Sewage Treatment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Copper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Q</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Zinc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Aluminum Reduction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Wet Process 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U</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Superphosphoric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Diammonium 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Triple Superphosphate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Granular Triple Superphosphate Storage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Coal Preparation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Z</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Ferroalloy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Steel Plants: Electric Arc Furnaces Constructed After October 21, 1974, and On or Before August 17, 1983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Steel Plants: Electric Arc Furnaces and Argon-Oxygen Decarburization Vessels Constructed After August 7, 1983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Kraft pulp Mills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Glass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Grain Elevators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Surface Coating of Metal Furniture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FF</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Stationary Gas Turbines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HH</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Lime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KK</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Lead-Acid Battery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LL</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lastRenderedPageBreak/>
                    <w:t>MM</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Automobile and Light Duty Trucks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NN</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Rock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PP</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Ammonium Sulfate Manufacture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QQ</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Graphic Arts Industry: Publication Rotogravure Printing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RR</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Pressure Sensitive Tape and Label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Industrial Surface Coating: Large Appliances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TT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Metal Coil Surface Coating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UU</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Asphalt Processing and Asphalt Roofing Manufacture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VV</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Equipment Leaks of VOC in the Synthetic Organic Chemicals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VVa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Equipment Leaks of VOC in the Synthetic Organic Chemicals Manufacturing Industry for Which Construction, Reconstruction, or Modification Commenced After November 7, 2006</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WW</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Beverage Can Surface Coating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Bulk Gasoline Terminals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New Residential Wool Heaters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BBB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Rubber Tire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CCC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DDD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Compounds (VOC) Emissions from the Polymer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EEE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FFF</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Flexible Vinyl and Urethane Coating and Printing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GGG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Equipment Leaks of VOC in 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GGGa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Equipment Leaks of VOC in Petroleum Refineries for Which Construction, Reconstruction, or Modification Commenced After November 7, 2006</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HHH</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Synthetic Fiber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III</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Compound (VOC) Emissions From the Synthetic Organic Chemical Manufacturing Industry (SOCMI) Air Oxidation Unit Processes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JJJ</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Petroleum Dry Cleaners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KKK</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Equipment Leaks of VOC From Onshore Natural Gas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LLL</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Onshore Natural Gas Processing: SO2 Emissions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MMM</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NNN</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Compound (VOC) Emissions From Synthetic Organic Chemical Manufacturing Industry (SOCMI) Distillation Operations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OOO</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Nonmetallic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PPP</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Wool Fiberglass Insulation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QQQ</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VOC Emissions From Petroleum Refinery Wastewater Systems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RRR</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Compound Emissions from Synthetic Organic Chemical Manufacturing Industry (SOCMI) Reactor Processes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SSS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Magnetic Tape Coating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TTT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Industrial Surface Coating: Surface Coating of Plastic Parts for Business Machines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UUU</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Calciners and Dryers in Mineral Industries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VVV</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Polymeric Coating of Supporting Substrates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lastRenderedPageBreak/>
                    <w:t>WWW</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Municipal Solid Waste Landfills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AAAA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Small Municipal Waste Combustion Units for Which Construction is Commenced After August 30, 1999, or for Which Modification or Reconstruction is Commenced After June 6, 2001</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CCCC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Commercial and Industrial Solid Waste Incineration Units for Which Construction Is Commenced After November 30, 1999, or for Which Modification or Reconstruction Is Commenced on or After June 1, 2001</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EEEE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Other Solid Waste Incineration Units for Which Construction is Commenced After December 9, 2004, or for Which Modification or Reconstruction is Commenced on or After June 16, 2006</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GGGG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IIII</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Stationary Compression Ignition Internal Combustion Engines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JJJJ</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Stationary Spark Ignition Internal Combustion Engines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KKKK</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Stationary Combustion Turbines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bl>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(viii) Delegations for Shasta County Air Quality Management District, Siskiyou County Air Pollution Control District, South Coast Air Quality Management District, and Tehama County Air Pollution Control District are shown in the following table:</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b/>
                <w:bCs/>
                <w:smallCaps/>
                <w:sz w:val="14"/>
                <w:szCs w:val="14"/>
              </w:rPr>
            </w:pPr>
            <w:r w:rsidRPr="00C342CD">
              <w:rPr>
                <w:rFonts w:ascii="Arial" w:eastAsia="Times New Roman" w:hAnsi="Arial" w:cs="Arial"/>
                <w:b/>
                <w:bCs/>
                <w:smallCaps/>
                <w:sz w:val="14"/>
                <w:szCs w:val="14"/>
              </w:rPr>
              <w:t>Delegation Status for New Source Performance Standards for Shasta County Air Quality Management District, Siskiyou County Air Pollution Control District, South Coast Air Quality Management District, and Tehama County Air Pollution Control District</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467"/>
              <w:gridCol w:w="5477"/>
              <w:gridCol w:w="840"/>
              <w:gridCol w:w="931"/>
              <w:gridCol w:w="751"/>
              <w:gridCol w:w="884"/>
            </w:tblGrid>
            <w:tr w:rsidR="00C342CD" w:rsidRPr="00C342CD" w:rsidTr="00C342CD">
              <w:trPr>
                <w:jc w:val="center"/>
              </w:trPr>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   </w:t>
                  </w:r>
                </w:p>
              </w:tc>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Subpart</w:t>
                  </w:r>
                </w:p>
              </w:tc>
              <w:tc>
                <w:tcPr>
                  <w:tcW w:w="0" w:type="auto"/>
                  <w:gridSpan w:val="4"/>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Air Pollution Control Agency</w:t>
                  </w:r>
                </w:p>
              </w:tc>
            </w:tr>
            <w:tr w:rsidR="00C342CD" w:rsidRPr="00C342CD" w:rsidTr="00C342CD">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342CD" w:rsidRPr="00C342CD" w:rsidRDefault="00C342CD" w:rsidP="00C342CD">
                  <w:pPr>
                    <w:spacing w:after="0" w:line="240" w:lineRule="auto"/>
                    <w:rPr>
                      <w:rFonts w:ascii="Arial" w:eastAsia="Times New Roman" w:hAnsi="Arial" w:cs="Arial"/>
                      <w:b/>
                      <w:bCs/>
                      <w:sz w:val="14"/>
                      <w:szCs w:val="1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342CD" w:rsidRPr="00C342CD" w:rsidRDefault="00C342CD" w:rsidP="00C342CD">
                  <w:pPr>
                    <w:spacing w:after="0" w:line="240" w:lineRule="auto"/>
                    <w:rPr>
                      <w:rFonts w:ascii="Arial" w:eastAsia="Times New Roman" w:hAnsi="Arial" w:cs="Arial"/>
                      <w:b/>
                      <w:bCs/>
                      <w:sz w:val="14"/>
                      <w:szCs w:val="14"/>
                    </w:rPr>
                  </w:pP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Shasta County AQMD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Siskiyou County APCD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South Coast AQMD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Tehama County APCD</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General Provisions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Fossil-Fuel Fired Steam Generators Constructed After August 17, 1971</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Electric Utility Steam Generating Units Constructed After September 18, 1978</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Industrial-Commercial-Institutional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Small Industrial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Incinerators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Municipal Waste Combustors Constructed After December 20, 1989 and On or Before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Municipal Waste Combustors Constructed After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Hospital/Medical/Infectious Waste Incinerators for Which Construction is Commenced After June 20, 1996</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Portland Cement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Nitric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Sulfuric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Hot Mix Asphalt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J</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Ja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Petroleum Refineries for Which Construction, Reconstruction, or Modification Commenced After May 14, 2007</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Storage Vessels for Petroleum Liquids for Which Construction, Reconstruction, or Modification Commenced After June 11, 1973, and Prior to May 19, 1978</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Storage Vessels for Petroleum Liquids for Which Construction, Reconstruction, or Modification Commenced After May 18, 1978, and Prior to July 23, 1984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lastRenderedPageBreak/>
                    <w:t>Kb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Liquid Storage Vessels (Including Petroleum Liquid Storage Vessels) for Which Construction, Reconstruction, or Modification Commenced After July 23, 1984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Secondary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Secondary Brass and Bronze Production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Emissions from Basic Oxygen Process Furnaces for Which Construction is Commenced After June 11, 1973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Secondary Emissions from Basic Oxygen Process Steelmaking Facilities for Which Construction is Commenced After January 20, 1983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Sewage Treatment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Copper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Q</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Zinc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Aluminum Reduction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Wet Process 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U</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Superphosphoric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Diammonium 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Triple Superphosphate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Granular Triple Superphosphate Storage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Coal Preparation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Z</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Ferroalloy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Steel Plants: Electric Arc Furnaces Constructed After October 21, 1974 and On or Before August 17, 1983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Steel Plants: Electric Arc Furnaces and Argon-Oxygen Decarburization Vessels Constructed After August 7, 1983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Kraft pulp Mills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Glass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Grain Elevators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Surface Coating of Metal Furniture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FF</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Stationary Gas Turbines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HH</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Lime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KK</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Lead-Acid Battery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LL</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MM</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Automobile and Light Duty Trucks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NN</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Rock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PP</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Ammonium Sulfate Manufacture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QQ</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Graphic Arts Industry: Publication Rotogravure Printing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RR</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Pressure Sensitive Tape and Label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Industrial Surface Coating: Large Appliances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TT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Metal Coil Surface Coating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lastRenderedPageBreak/>
                    <w:t>UU</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Asphalt Processing and Asphalt Roofing Manufacture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VV</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Equipment Leaks of VOC in the Synthetic Organic Chemicals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VVa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Equipment Leaks of VOC in the Synthetic Organic Chemicals Manufacturing Industry for Which Construction, Reconstruction, or Modification Commenced After November 7, 2006</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WW</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Beverage Can Surface Coating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Bulk Gasoline Terminals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New Residential Wool Heaters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BBB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Rubber Tire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CCC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DDD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Compounds (VOC) Emissions from the Polymer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EEE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FFF</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Flexible Vinyl and Urethane Coating and Printing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GGG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Equipment Leaks of VOC in 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GGGa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Equipment Leaks of VOC in Petroleum Refineries for Which Construction, Reconstruction, or Modification Commenced After November 7, 2006</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HHH</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Synthetic Fiber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III</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Compound (VOC) Emissions From the Synthetic Organic Chemical Manufacturing Industry (SOCMI) Air Oxidation Unit Processes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JJJ</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Petroleum Dry Cleaners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KKK</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Equipment Leaks of VOC From Onshore Natural Gas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LLL</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Onshore Natural Gas Processing: SO2 Emissions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MMM</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NNN</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Compound (VOC) Emissions From Synthetic Organic Chemical Manufacturing Industry (SOCMI) Distillation Operations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OOO</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Nonmetallic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PPP</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Wool Fiberglass Insulation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QQQ</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VOC Emissions From Petroleum Refinery Wastewater Systems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RRR</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Compound Emissions from Synthetic Organic Chemical Manufacturing Industry (SOCMI) Reactor Processes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SSS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Magnetic Tape Coating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TTT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Industrial Surface Coating: Surface Coating of Plastic Parts for Business Machines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UUU</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Calciners and Dryers in Mineral Industries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VVV</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Polymeric Coating of Supporting Substrates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WWW</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Municipal Solid Waste Landfills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AAAA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Small Municipal Waste Combustion Units for Which Construction is Commenced After August 30, 1999 or for Which Modification or Reconstruction is Commended After June 6, 2001</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CCCC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Commercial and Industrial Solid Waste Incineration Units for Which Construction Is Commenced After November 30, 1999 or for Which Modification or Reconstruction Is Commenced on or After June 1, 2001</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EEEE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Other Solid Waste Incineration Units for Which Construction is Commenced After December 9, 2004, or for Which Modification or Reconstruction is Commenced on or After June 16, 2006</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lastRenderedPageBreak/>
                    <w:t>GGGG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IIII</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Stationary Compression Ignition Internal Combustion Engines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JJJJ</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Stationary Spark Ignition Internal Combustion Engines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KKKK</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Stationary Combustion Turbines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bl>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(ix) Delegations for Tuolumne County Air Pollution Control District, Ventura County Air Pollution Control District, and Yolo-Solano Air Quality Management District are shown in the following table:</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b/>
                <w:bCs/>
                <w:smallCaps/>
                <w:sz w:val="14"/>
                <w:szCs w:val="14"/>
              </w:rPr>
            </w:pPr>
            <w:r w:rsidRPr="00C342CD">
              <w:rPr>
                <w:rFonts w:ascii="Arial" w:eastAsia="Times New Roman" w:hAnsi="Arial" w:cs="Arial"/>
                <w:b/>
                <w:bCs/>
                <w:smallCaps/>
                <w:sz w:val="14"/>
                <w:szCs w:val="14"/>
              </w:rPr>
              <w:t>Delegation Status for New Source Performance Standards for Tuolumne County Air Pollution Control District, Ventura County Air Pollution Control District, and Yolo-Solano Air Quality Management District</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467"/>
              <w:gridCol w:w="6065"/>
              <w:gridCol w:w="1074"/>
              <w:gridCol w:w="927"/>
              <w:gridCol w:w="817"/>
            </w:tblGrid>
            <w:tr w:rsidR="00C342CD" w:rsidRPr="00C342CD" w:rsidTr="00C342CD">
              <w:trPr>
                <w:jc w:val="center"/>
              </w:trPr>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   </w:t>
                  </w:r>
                </w:p>
              </w:tc>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Subpart</w:t>
                  </w:r>
                </w:p>
              </w:tc>
              <w:tc>
                <w:tcPr>
                  <w:tcW w:w="0" w:type="auto"/>
                  <w:gridSpan w:val="3"/>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Air Pollution Control Agency</w:t>
                  </w:r>
                </w:p>
              </w:tc>
            </w:tr>
            <w:tr w:rsidR="00C342CD" w:rsidRPr="00C342CD" w:rsidTr="00C342CD">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342CD" w:rsidRPr="00C342CD" w:rsidRDefault="00C342CD" w:rsidP="00C342CD">
                  <w:pPr>
                    <w:spacing w:after="0" w:line="240" w:lineRule="auto"/>
                    <w:rPr>
                      <w:rFonts w:ascii="Arial" w:eastAsia="Times New Roman" w:hAnsi="Arial" w:cs="Arial"/>
                      <w:b/>
                      <w:bCs/>
                      <w:sz w:val="14"/>
                      <w:szCs w:val="1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342CD" w:rsidRPr="00C342CD" w:rsidRDefault="00C342CD" w:rsidP="00C342CD">
                  <w:pPr>
                    <w:spacing w:after="0" w:line="240" w:lineRule="auto"/>
                    <w:rPr>
                      <w:rFonts w:ascii="Arial" w:eastAsia="Times New Roman" w:hAnsi="Arial" w:cs="Arial"/>
                      <w:b/>
                      <w:bCs/>
                      <w:sz w:val="14"/>
                      <w:szCs w:val="14"/>
                    </w:rPr>
                  </w:pP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Tuolumne County APCD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Ventura County APCD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Yolo-Solano AQMD</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General Provisions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Fossil-Fuel Fired Steam Generators Constructed After August 17, 1971</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Electric Utility Steam Generating Units Constructed After September 18, 1978</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Industrial-Commercial-Institutional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Small Industrial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Incinerators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Municipal Waste Combustors Constructed After December 20, 1989 and On or Before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Municipal Waste Combustors Constructed After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Hospital/Medical/Infectious Waste Incinerators for Which Construction is Commenced After June 20, 1996</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Portland Cement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Nitric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Sulfuric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Hot Mix Asphalt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J</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Ja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Petroleum Refineries for Which Construction, Reconstruction, or Modification Commenced After May 14, 2007</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Storage Vessels for Petroleum Liquids for Which Construction, Reconstruction, or Modification Commenced After June 11, 1973, and Prior to May 19, 1978</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Storage Vessels for Petroleum Liquids for Which Construction, Reconstruction, or Modification Commenced After May 18, 1978, and Prior to July 23, 1984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Liquid Storage Vessels (Including Petroleum Liquid Storage Vessels) for Which Construction, Reconstruction, or Modification Commenced After July 23, 1984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Secondary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Secondary Brass and Bronze Production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Emissions from Basic Oxygen Process Furnaces for Which Construction is Commenced After June 11, 1973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Secondary Emissions from Basic Oxygen Process Steelmaking Facilities for Which Construction is Commenced After January 20, 1983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lastRenderedPageBreak/>
                    <w:t>O</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Sewage Treatment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Copper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Q</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Zinc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Aluminum Reduction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Wet Process 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U</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Superphosphoric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Diammonium 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Triple Superphosphate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Granular Triple Superphosphate Storage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Coal Preparation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Z</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Ferroalloy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Steel Plants: Electric Arc Furnaces Constructed After October 21, 1974 and On or Before August 17, 1983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Steel Plants: Electric Arc Furnaces and Argon-Oxygen Decarburization Vessels Constructed After August 7, 1983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Kraft pulp Mills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Glass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Grain Elevators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Surface Coating of Metal Furniture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FF</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Stationary Gas Turbines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HH</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Lime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KK</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Lead-Acid Battery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LL</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MM</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Automobile and Light Duty Trucks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NN</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Rock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PP</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Ammonium Sulfate Manufacture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QQ</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Graphic Arts Industry: Publication Rotogravure Printing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RR</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Pressure Sensitive Tape and Label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Industrial Surface Coating: Large Appliances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TT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Metal Coil Surface Coating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UU</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Asphalt Processing and Asphalt Roofing Manufacture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VV</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Equipment Leaks of VOC in the Synthetic Organic Chemicals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VVa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Equipment Leaks of VOC in the Synthetic Organic Chemicals Manufacturing Industry for Which Construction, Reconstruction, or Modification Commenced After November 7, 2006</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WW</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Beverage Can Surface Coating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Bulk Gasoline Terminals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New Residential Wood Heaters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BBB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Rubber Tire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lastRenderedPageBreak/>
                    <w:t>CCC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DDD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Compounds (VOC) Emissions from the Polymer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EEE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FFF</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Flexible Vinyl and Urethane Coating and Printing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GGG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Equipment Leaks of VOC in 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GGGa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Equipment Leaks of VOC in Petroleum Refineries for Which Construction, Reconstruction, or Modification Commenced After November 7, 2006</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HHH</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Synthetic Fiber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III</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Compound (VOC) Emissions From the Synthetic Organic Chemical Manufacturing Industry (SOCMI) Air Oxidation Unit Processes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JJJ</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Petroleum Dry Cleaners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KKK</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Equipment Leaks of VOC From Onshore Natural Gas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LLL</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Onshore Natural Gas Processing: SO2 Emissions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MMM</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NNN</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Compound (VOC) Emissions From Synthetic Organic Chemical Manufacturing Industry (SOCMI) Distillation Operations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OOO</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Nonmetallic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PPP</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Wool Fiberglass Insulation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QQQ</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VOC Emissions From Petroleum Refinery Wastewater Systems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RRR</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Compound Emissions from Synthetic Organic Chemical Manufacturing Industry (SOCMI) Reactor Processes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SSS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Magnetic Tape Coating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TTT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Industrial Surface Coating: Surface Coating of Plastic Parts for Business Machines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UUU</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Calciners and Dryers in Mineral Industries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VVV</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Polymeric Coating of Supporting Substrates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WWW</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Municipal Solid Waste Landfills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AAAA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Small Municipal Waste Combustion Units for Which Construction is Commenced After August 30, 1999 or for Which Modification or Reconstruction is Commenced After June 6, 2001</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CCCC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Commercial and Industrial Solid Waste Incineration Units for Which Construction Is Commenced After November 30, 1999 or for Which Modification or Reconstruction Is Commenced on or After June 1, 2001</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EEEE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Other Solid Waste Incineration Units for Which Construction is Commenced After December 9, 2004, or for Which Modification or Reconstruction is Commenced on or After June 16, 2006</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GGGG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IIII</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Stationary Compression Ignition Internal Combustion Engines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JJJJ</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Stationary Spark Ignition Internal Combustion Engines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KKKK</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Stationary Combustion Turbines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bl>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(3) </w:t>
            </w:r>
            <w:r w:rsidRPr="00C342CD">
              <w:rPr>
                <w:rFonts w:ascii="Arial" w:eastAsia="Times New Roman" w:hAnsi="Arial" w:cs="Arial"/>
                <w:i/>
                <w:iCs/>
                <w:sz w:val="14"/>
                <w:szCs w:val="14"/>
              </w:rPr>
              <w:t>Hawaii.</w:t>
            </w:r>
            <w:r w:rsidRPr="00C342CD">
              <w:rPr>
                <w:rFonts w:ascii="Arial" w:eastAsia="Times New Roman" w:hAnsi="Arial" w:cs="Arial"/>
                <w:sz w:val="14"/>
                <w:szCs w:val="14"/>
              </w:rPr>
              <w:t xml:space="preserve"> The following table identifies delegations for Hawaii:</w:t>
            </w:r>
          </w:p>
          <w:p w:rsid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Delegation Status for New Source Performance Standards for Hawaii:</w:t>
            </w:r>
          </w:p>
          <w:p w:rsidR="00243D64" w:rsidRDefault="00243D64" w:rsidP="00C342CD">
            <w:pPr>
              <w:spacing w:before="100" w:beforeAutospacing="1" w:after="100" w:afterAutospacing="1" w:line="240" w:lineRule="auto"/>
              <w:ind w:firstLine="480"/>
              <w:jc w:val="center"/>
              <w:rPr>
                <w:rFonts w:ascii="Arial" w:eastAsia="Times New Roman" w:hAnsi="Arial" w:cs="Arial"/>
                <w:sz w:val="14"/>
                <w:szCs w:val="14"/>
              </w:rPr>
            </w:pPr>
          </w:p>
          <w:p w:rsidR="00243D64" w:rsidRDefault="00243D64" w:rsidP="00C342CD">
            <w:pPr>
              <w:spacing w:before="100" w:beforeAutospacing="1" w:after="100" w:afterAutospacing="1" w:line="240" w:lineRule="auto"/>
              <w:ind w:firstLine="480"/>
              <w:jc w:val="center"/>
              <w:rPr>
                <w:rFonts w:ascii="Arial" w:eastAsia="Times New Roman" w:hAnsi="Arial" w:cs="Arial"/>
                <w:sz w:val="14"/>
                <w:szCs w:val="14"/>
              </w:rPr>
            </w:pPr>
          </w:p>
          <w:p w:rsidR="00243D64" w:rsidRDefault="00243D64" w:rsidP="00C342CD">
            <w:pPr>
              <w:spacing w:before="100" w:beforeAutospacing="1" w:after="100" w:afterAutospacing="1" w:line="240" w:lineRule="auto"/>
              <w:ind w:firstLine="480"/>
              <w:jc w:val="center"/>
              <w:rPr>
                <w:rFonts w:ascii="Arial" w:eastAsia="Times New Roman" w:hAnsi="Arial" w:cs="Arial"/>
                <w:sz w:val="14"/>
                <w:szCs w:val="14"/>
              </w:rPr>
            </w:pPr>
          </w:p>
          <w:p w:rsidR="00243D64" w:rsidRPr="00C342CD" w:rsidRDefault="00243D64" w:rsidP="00C342CD">
            <w:pPr>
              <w:spacing w:before="100" w:beforeAutospacing="1" w:after="100" w:afterAutospacing="1" w:line="240" w:lineRule="auto"/>
              <w:ind w:firstLine="480"/>
              <w:jc w:val="center"/>
              <w:rPr>
                <w:rFonts w:ascii="Arial" w:eastAsia="Times New Roman" w:hAnsi="Arial" w:cs="Arial"/>
                <w:sz w:val="14"/>
                <w:szCs w:val="14"/>
              </w:rPr>
            </w:pP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b/>
                <w:bCs/>
                <w:smallCaps/>
                <w:sz w:val="14"/>
                <w:szCs w:val="14"/>
              </w:rPr>
            </w:pPr>
            <w:r w:rsidRPr="00C342CD">
              <w:rPr>
                <w:rFonts w:ascii="Arial" w:eastAsia="Times New Roman" w:hAnsi="Arial" w:cs="Arial"/>
                <w:b/>
                <w:bCs/>
                <w:smallCaps/>
                <w:sz w:val="14"/>
                <w:szCs w:val="14"/>
              </w:rPr>
              <w:t>Delegation Status for New Source Performance Standards for Hawaii</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466"/>
              <w:gridCol w:w="8410"/>
              <w:gridCol w:w="474"/>
            </w:tblGrid>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Subpart</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Hawaii</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General Provisions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Fossil-Fuel Fired Steam Generators Constructed After August 17, 1971</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Electric Utility Steam Generating Units Constructed After September 18, 1978</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Industrial-Commercial-Institutional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Small Industrial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Incinerators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Municipal Waste Combustors Constructed After December 20, 1989 and On or Before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Municipal Waste Combustors Constructed After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Hospital/Medical/Infectious Waste Incinerators for Which Construction is Commenced After June 20, 1996</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Portland Cement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Nitric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Sulfuric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Hot Mix Asphalt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J</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Ja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Petroleum Refineries for Which Construction, Reconstruction, or Modification Commenced After May 14, 2007</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Storage Vessels for Petroleum Liquids for Which Construction, Reconstruction, or Modification Commenced After June 11, 1973, and Prior to May 19, 1978</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Storage Vessels for Petroleum Liquids for Which Construction, Reconstruction, or Modification Commenced After May 18, 1978, and Prior to July 23, 1984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Liquid Storage Vessels (Including Petroleum Liquid Storage Vessels) for Which Construction, Reconstruction, or Modification Commenced After July 23, 1984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Secondary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Secondary Brass and Bronze Production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Emissions from Basic Oxygen Process Furnaces for Which Construction is Commenced After June 11, 1973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Secondary Emissions from Basic Oxygen Process Steelmaking Facilities for Which Construction is Commenced After January 20, 1983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Sewage Treatment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Copper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Q</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Zinc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Aluminum Reduction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Wet Process 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U</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Superphosphoric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Diammonium 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lastRenderedPageBreak/>
                    <w:t>W</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Triple Superphosphate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Granular Triple Superphosphate Storage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Coal Preparation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Z</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Ferroalloy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Steel Plants: Electric Arc Furnaces Constructed After October 21, 1974 and On or Before August 17, 1983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Steel Plants: Electric Arc Furnaces and Argon-Oxygen Decarburization Vessels Constructed After August 7, 1983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Kraft pulp Mills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Glass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Grain Elevators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Surface Coating of Metal Furniture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FF</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Stationary Gas Turbines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HH</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Lime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KK</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Lead-Acid Battery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LL</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MM</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Automobile and Light Duty Trucks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NN</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Rock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PP</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Ammonium Sulfate Manufacture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QQ</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Graphic Arts Industry: Publication Rotogravure Printing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RR</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Pressure Sensitive Tape and Label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Industrial Surface Coating: Large Appliances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TT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Metal Coil Surface Coating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UU</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Asphalt Processing and Asphalt Roofing Manufacture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VV</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Equipment Leaks of VOC in the Synthetic Organic Chemicals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VVa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Equipment Leaks of VOC in the Synthetic Organic Chemicals Manufacturing Industry for Which Construction, Reconstruction, or Modification Commenced After November 7, 2006</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WW</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Beverage Can Surface Coating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Bulk Gasoline Terminals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New Residential Wool Heaters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BBB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Rubber Tire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CCC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DDD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Compounds (VOC) Emissions from the Polymer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EEE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FFF</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Flexible Vinyl and Urethane Coating and Printing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GGG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Equipment Leaks of VOC in 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GGGa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Equipment Leaks of VOC in Petroleum Refineries for Which Construction, Reconstruction, or Modification Commenced After November 7, 2006</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HHH</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Synthetic Fiber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III</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Compound (VOC) Emissions From the Synthetic Organic Chemical Manufacturing Industry (SOCMI) Air Oxidation Unit Processes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lastRenderedPageBreak/>
                    <w:t>JJJ</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Petroleum Dry Cleaners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KKK</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Equipment Leaks of VOC From Onshore Natural Gas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LLL</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Onshore Natural Gas Processing: SO2 Emissions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MMM</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NNN</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Compound (VOC) Emissions From Synthetic Organic Chemical Manufacturing Industry (SOCMI) Distillation Operations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OOO</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Nonmetallic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PPP</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Wool Fiberglass Insulation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QQQ</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VOC Emissions From Petroleum Refinery Wastewater</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RRR</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Compound Emissions from Synthetic Organic Chemical Manufacturing Industry (SOCMI) Reactor Processes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SSS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Magnetic Tape Coating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TTT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Industrial Surface Coating: Surface Coating of Plastic Parts for Business Machines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UUU</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Calciners and Dryers in Mineral Industries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VVV</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Polymeric Coating of Supporting Substrates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WWW</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Municipal Solid Waste Landfills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AAAA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Small Municipal Waste Combustion Units for Which Construction is Commenced After August 30, 1999 or for Which Modification or Reconstruction is Commenced After June 6, 2001</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CCCC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Commercial and Industrial Solid Waste Incineration Units for Which Construction Is Commenced After November 30, 1999 or for Which Modification or Reconstruction Is Commenced on or After June 1, 2001</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EEEE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Other Solid Waste Incineration Units for Which Construction is Commenced After December 9, 2004, or for Which Modification or Reconstruction is Commenced on or After June 16, 2006</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GGGG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IIII</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Stationary Compression Ignition Internal Combustion Engines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JJJJ</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Stationary Spark Ignition Internal Combustion Engines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KKKK</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Stationary Combustion Turbines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bl>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(4) </w:t>
            </w:r>
            <w:r w:rsidRPr="00C342CD">
              <w:rPr>
                <w:rFonts w:ascii="Arial" w:eastAsia="Times New Roman" w:hAnsi="Arial" w:cs="Arial"/>
                <w:i/>
                <w:iCs/>
                <w:sz w:val="14"/>
                <w:szCs w:val="14"/>
              </w:rPr>
              <w:t>Nevada.</w:t>
            </w:r>
            <w:r w:rsidRPr="00C342CD">
              <w:rPr>
                <w:rFonts w:ascii="Arial" w:eastAsia="Times New Roman" w:hAnsi="Arial" w:cs="Arial"/>
                <w:sz w:val="14"/>
                <w:szCs w:val="14"/>
              </w:rPr>
              <w:t xml:space="preserve"> The following table identifies delegations for Nevada:</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b/>
                <w:bCs/>
                <w:smallCaps/>
                <w:sz w:val="14"/>
                <w:szCs w:val="14"/>
              </w:rPr>
            </w:pPr>
            <w:r w:rsidRPr="00C342CD">
              <w:rPr>
                <w:rFonts w:ascii="Arial" w:eastAsia="Times New Roman" w:hAnsi="Arial" w:cs="Arial"/>
                <w:b/>
                <w:bCs/>
                <w:smallCaps/>
                <w:sz w:val="14"/>
                <w:szCs w:val="14"/>
              </w:rPr>
              <w:t>Delegation Status for New Source Performance Standards for Nevada</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466"/>
              <w:gridCol w:w="7026"/>
              <w:gridCol w:w="529"/>
              <w:gridCol w:w="513"/>
              <w:gridCol w:w="816"/>
            </w:tblGrid>
            <w:tr w:rsidR="00C342CD" w:rsidRPr="00C342CD" w:rsidTr="00C342CD">
              <w:trPr>
                <w:jc w:val="center"/>
              </w:trPr>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   </w:t>
                  </w:r>
                </w:p>
              </w:tc>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Subpart</w:t>
                  </w:r>
                </w:p>
              </w:tc>
              <w:tc>
                <w:tcPr>
                  <w:tcW w:w="0" w:type="auto"/>
                  <w:gridSpan w:val="3"/>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Air Pollution Control Agency</w:t>
                  </w:r>
                </w:p>
              </w:tc>
            </w:tr>
            <w:tr w:rsidR="00C342CD" w:rsidRPr="00C342CD" w:rsidTr="00C342CD">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342CD" w:rsidRPr="00C342CD" w:rsidRDefault="00C342CD" w:rsidP="00C342CD">
                  <w:pPr>
                    <w:spacing w:after="0" w:line="240" w:lineRule="auto"/>
                    <w:rPr>
                      <w:rFonts w:ascii="Arial" w:eastAsia="Times New Roman" w:hAnsi="Arial" w:cs="Arial"/>
                      <w:b/>
                      <w:bCs/>
                      <w:sz w:val="14"/>
                      <w:szCs w:val="1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342CD" w:rsidRPr="00C342CD" w:rsidRDefault="00C342CD" w:rsidP="00C342CD">
                  <w:pPr>
                    <w:spacing w:after="0" w:line="240" w:lineRule="auto"/>
                    <w:rPr>
                      <w:rFonts w:ascii="Arial" w:eastAsia="Times New Roman" w:hAnsi="Arial" w:cs="Arial"/>
                      <w:b/>
                      <w:bCs/>
                      <w:sz w:val="14"/>
                      <w:szCs w:val="14"/>
                    </w:rPr>
                  </w:pP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Nevada</w:t>
                  </w:r>
                  <w:r w:rsidRPr="00C342CD">
                    <w:rPr>
                      <w:rFonts w:ascii="Arial" w:eastAsia="Times New Roman" w:hAnsi="Arial" w:cs="Arial"/>
                      <w:b/>
                      <w:bCs/>
                      <w:sz w:val="14"/>
                      <w:szCs w:val="14"/>
                    </w:rPr>
                    <w:br/>
                    <w:t>DEP</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Clark</w:t>
                  </w:r>
                  <w:r w:rsidRPr="00C342CD">
                    <w:rPr>
                      <w:rFonts w:ascii="Arial" w:eastAsia="Times New Roman" w:hAnsi="Arial" w:cs="Arial"/>
                      <w:b/>
                      <w:bCs/>
                      <w:sz w:val="14"/>
                      <w:szCs w:val="14"/>
                    </w:rPr>
                    <w:br/>
                    <w:t>County</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Washoe County</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General Provisions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Fossil-Fuel Fired Steam Generators Constructed After August 17, 1971</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Electric Utility Steam Generating Units Constructed After September 18, 1978</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Industrial-Commercial-Institutional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Small Industrial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Incinerators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Municipal Waste Combustors Constructed After December 20, 1989 and On or Before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Municipal Waste Combustors Constructed After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lastRenderedPageBreak/>
                    <w:t>Ec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Hospital/Medical/Infectious Waste Incinerators for Which Construction is Commenced After June 20, 1996</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Portland Cement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Nitric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Sulfuric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Hot Mix Asphalt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J</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Ja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Petroleum Refineries for Which Construction, Reconstruction, or Modification Commenced After May 14, 2007</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Storage Vessels for Petroleum Liquids for Which Construction, Reconstruction, or Modification Commenced After June 11, 1973, and Prior to May 19, 1978</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Storage Vessels for Petroleum Liquids for Which Construction, Reconstruction, or Modification Commenced After May 18, 1978, and Prior to July 23, 1984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Liquid Storage Vessels (Including Petroleum Liquid Storage Vessels) for Which Construction, Reconstruction, or Modification Commenced After July 23, 1984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Secondary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Secondary Brass and Bronze Production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Emissions from Basic Oxygen Process Furnaces for Which Construction is Commenced After June 11, 1973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Secondary Emissions from Basic Oxygen Process Steelmaking Facilities for Which Construction is Commenced After January 20, 1983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Sewage Treatment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Copper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Q</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Zinc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Aluminum Reduction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Wet Process 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U</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Superphosphoric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Diammonium 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Triple Superphosphate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Granular Triple Superphosphate Storage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Coal Preparation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Z</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Ferroalloy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Steel Plants: Electric Arc Furnaces Constructed After October 21, 1974 and On or Before August 17, 1983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Steel Plants: Electric Arc Furnaces and Argon-Oxygen Decarburization Vessels Constructed After August 7, 1983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Kraft pulp Mills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Glass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Grain Elevators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Surface Coating of Metal Furniture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FF</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Stationary Gas Turbines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HH</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Lime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lastRenderedPageBreak/>
                    <w:t>KK</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Lead-Acid Battery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LL</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MM</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Automobile and Light Duty Trucks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NN</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Rock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PP</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Ammonium Sulfate Manufacture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QQ</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Graphic Arts Industry: Publication Rotogravure Printing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RR</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Pressure Sensitive Tape and Label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Industrial Surface Coating: Large Appliances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TT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Metal Coil Surface Coating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UU</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Asphalt Processing and Asphalt Roofing Manufacture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VV</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Equipment Leaks of VOC in the Synthetic Organic Chemicals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VVa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Equipment Leaks of VOC in the Synthetic Organic Chemicals Manufacturing Industry for Which Construction, Reconstruction, or Modification Commenced After November 7, 2006</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WW</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Beverage Can Surface Coating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Bulk Gasoline Terminals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New Residential Wool Heaters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BBB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Rubber Tire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CCC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DDD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Compounds (VOC) Emissions from the Polymer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EEE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FFF</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Flexible Vinyl and Urethane Coating and Printing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GGG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Equipment Leaks of VOC in 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GGGa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Equipment Leaks of VOC in Petroleum Refineries for Which Construction, Reconstruction, or Modification Commenced After November 7, 2006</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HHH</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Synthetic Fiber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III</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Compound (VOC) Emissions From the Synthetic Organic Chemical Manufacturing Industry (SOCMI) Air Oxidation Unit Processes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JJJ</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Petroleum Dry Cleaners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KKK</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Equipment Leaks of VOC From Onshore Natural Gas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LLL</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Onshore Natural Gas Processing: SO2 Emissions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MMM</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NNN</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Compound (VOC) Emissions From Synthetic Organic Chemical Manufacturing Industry (SOCMI) Distillation Operations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OOO</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Nonmetallic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PPP</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Wool Fiberglass Insulation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QQQ</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VOC Emissions From Petroleum Refinery Wastewater Systems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RRR</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Compound Emissions from Synthetic Organic Chemical Manufacturing Industry (SOCMI) Reactor Processes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SSS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Magnetic Tape Coating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TTT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Industrial Surface Coating: Surface Coating of Plastic Parts for Business Machines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UUU</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Calciners and Dryers in Mineral Industries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lastRenderedPageBreak/>
                    <w:t>VVV</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Polymeric Coating of Supporting Substrates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WWW</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Municipal Solid Waste Landfills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AAAA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Small Municipal Waste Combustion Units for Which Construction is Commenced After August 30, 1999 or for Which Modification or Reconstruction is Commended After June 6, 2001</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CCCC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Commercial and Industrial Solid Waste Incineration Units for Which Construction Is Commenced After November 30, 1999 or for Which Modification or Reconstruction Is Commenced on or After June 1, 2001</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EEEE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Other Solid Waste Incineration Units for Which Construction is Commenced After December 9, 2004, or for Which Modification or Reconstruction is Commenced on or After June 16, 2006</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GGGG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IIII</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Stationary Compression Ignition Internal Combustion Engines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JJJJ</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Stationary Spark Ignition Internal Combustion Engines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KKKK</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Stationary Combustion Turbines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p>
              </w:tc>
            </w:tr>
          </w:tbl>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(5) </w:t>
            </w:r>
            <w:r w:rsidRPr="00C342CD">
              <w:rPr>
                <w:rFonts w:ascii="Arial" w:eastAsia="Times New Roman" w:hAnsi="Arial" w:cs="Arial"/>
                <w:i/>
                <w:iCs/>
                <w:sz w:val="14"/>
                <w:szCs w:val="14"/>
              </w:rPr>
              <w:t>Guam.</w:t>
            </w:r>
            <w:r w:rsidRPr="00C342CD">
              <w:rPr>
                <w:rFonts w:ascii="Arial" w:eastAsia="Times New Roman" w:hAnsi="Arial" w:cs="Arial"/>
                <w:sz w:val="14"/>
                <w:szCs w:val="14"/>
              </w:rPr>
              <w:t xml:space="preserve"> The following table identifies delegations as of June 15, 2001:</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b/>
                <w:bCs/>
                <w:smallCaps/>
                <w:sz w:val="14"/>
                <w:szCs w:val="14"/>
              </w:rPr>
            </w:pPr>
            <w:r w:rsidRPr="00C342CD">
              <w:rPr>
                <w:rFonts w:ascii="Arial" w:eastAsia="Times New Roman" w:hAnsi="Arial" w:cs="Arial"/>
                <w:b/>
                <w:bCs/>
                <w:smallCaps/>
                <w:sz w:val="14"/>
                <w:szCs w:val="14"/>
              </w:rPr>
              <w:t>Delegation Status for New Source Performance Standards for Guam</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209"/>
              <w:gridCol w:w="8714"/>
              <w:gridCol w:w="427"/>
            </w:tblGrid>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Subpart</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Guam</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General Provisions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Fossil-Fuel Fired Steam Generators Constructed After August 17, 1971</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Electric Utility Steam Generating Units Constructed After September 18, 1978</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Industrial-Commercial-Institutional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Small Industrial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Incinerators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Municipal Waste Combustors Constructed After December 20, 1989 and On or Before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Municipal Waste Combustors Constructed After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Hospital/Medical/Infectious Waste Incinerators for Which Construction is Commenced After June 20, 1996</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Portland Cement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Nitric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Sulfuric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Hot Mix Asphalt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J</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X</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Storage Vessels for Petroleum Liquids for Which Construction, Reconstruction, or Modification Commenced After June 11, 1973, and Prior to May 19, 1978</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X</w:t>
                  </w:r>
                </w:p>
              </w:tc>
            </w:tr>
          </w:tbl>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(e) The following lists the specific part 60 standards that have been delegated unchanged to the air pollution control agencies in Region 6.</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(1) </w:t>
            </w:r>
            <w:r w:rsidRPr="00C342CD">
              <w:rPr>
                <w:rFonts w:ascii="Arial" w:eastAsia="Times New Roman" w:hAnsi="Arial" w:cs="Arial"/>
                <w:i/>
                <w:iCs/>
                <w:sz w:val="14"/>
                <w:szCs w:val="14"/>
              </w:rPr>
              <w:t>New Mexico.</w:t>
            </w:r>
            <w:r w:rsidRPr="00C342CD">
              <w:rPr>
                <w:rFonts w:ascii="Arial" w:eastAsia="Times New Roman" w:hAnsi="Arial" w:cs="Arial"/>
                <w:sz w:val="14"/>
                <w:szCs w:val="14"/>
              </w:rPr>
              <w:t xml:space="preserve"> The New Mexico Environment Department has been delegated all part 60 standards promulgated by EPA, except subpart AAA—Standards of Performance for New Residential Wood Heaters, as amended in the </w:t>
            </w:r>
            <w:r w:rsidRPr="00C342CD">
              <w:rPr>
                <w:rFonts w:ascii="Arial" w:eastAsia="Times New Roman" w:hAnsi="Arial" w:cs="Arial"/>
                <w:smallCaps/>
                <w:sz w:val="14"/>
                <w:szCs w:val="14"/>
              </w:rPr>
              <w:t>Federal Register</w:t>
            </w:r>
            <w:r w:rsidRPr="00C342CD">
              <w:rPr>
                <w:rFonts w:ascii="Arial" w:eastAsia="Times New Roman" w:hAnsi="Arial" w:cs="Arial"/>
                <w:sz w:val="14"/>
                <w:szCs w:val="14"/>
              </w:rPr>
              <w:t xml:space="preserve"> through September 1, 2002.</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(2) Louisiana. The Louisiana Department of Environmental Quality has been delegated all part 60 standards promulgated by EPA, except subpart AAA—Standards for Performance for New Residential Wood Heaters, as amended in the </w:t>
            </w:r>
            <w:r w:rsidRPr="00C342CD">
              <w:rPr>
                <w:rFonts w:ascii="Arial" w:eastAsia="Times New Roman" w:hAnsi="Arial" w:cs="Arial"/>
                <w:smallCaps/>
                <w:sz w:val="14"/>
                <w:szCs w:val="14"/>
              </w:rPr>
              <w:t>Federal Register</w:t>
            </w:r>
            <w:r w:rsidRPr="00C342CD">
              <w:rPr>
                <w:rFonts w:ascii="Arial" w:eastAsia="Times New Roman" w:hAnsi="Arial" w:cs="Arial"/>
                <w:sz w:val="14"/>
                <w:szCs w:val="14"/>
              </w:rPr>
              <w:t xml:space="preserve"> through July 1, 2008.</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b/>
                <w:bCs/>
                <w:smallCaps/>
                <w:sz w:val="14"/>
                <w:szCs w:val="14"/>
              </w:rPr>
            </w:pPr>
            <w:r w:rsidRPr="00C342CD">
              <w:rPr>
                <w:rFonts w:ascii="Arial" w:eastAsia="Times New Roman" w:hAnsi="Arial" w:cs="Arial"/>
                <w:b/>
                <w:bCs/>
                <w:smallCaps/>
                <w:sz w:val="14"/>
                <w:szCs w:val="14"/>
              </w:rPr>
              <w:t>Delegation Status for Part 60 Standards—State of Louisiana</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559"/>
              <w:gridCol w:w="8322"/>
              <w:gridCol w:w="469"/>
            </w:tblGrid>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lastRenderedPageBreak/>
                    <w:t>Subpart</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Source category</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LDEQ</w:t>
                  </w:r>
                  <w:r w:rsidRPr="00C342CD">
                    <w:rPr>
                      <w:rFonts w:ascii="Arial" w:eastAsia="Times New Roman" w:hAnsi="Arial" w:cs="Arial"/>
                      <w:b/>
                      <w:bCs/>
                      <w:sz w:val="14"/>
                      <w:szCs w:val="14"/>
                      <w:vertAlign w:val="superscript"/>
                    </w:rPr>
                    <w:t>1</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General Provisions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Fossil Fueled Steam Generators (&gt;250 MM BTU/hr). Including amendments issued January 28, 2009. (74 FR 5072)</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Electric Utility Steam Generating Units (&gt;250 MM BTU/hr). Including amendments issued January 28, 2009. (74 FR 5072)</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Industrial-Commercial-Institutional Steam Generating Units (100 to 250 MM BTU/hr). Including amendments issued January 28, 2009. (74 FR 5072)</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Industrial-Commercial-Institutional Small Steam Generating Units (10 to 100 MM BTU/hr). Including amendments issued January 28, 2009. (74 FR 5072)</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Incinerators (&gt;50 tons per day). Including amendments issued January 28, 2009. (74 FR 5072)</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Municipal Waste Combustors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Large Municipal Waste Combustors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Hospital/Medical/Infectious Waste Incinerators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Portland Cement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Nitric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Sulfuric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Hot Mix Asphalt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J</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Ja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Petroleum Refineries (After May 14, 2007). Including amendments issued July 28, 2008. (73 FR 43626)</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Storage Vessels for Petroleum Liquids (After 6/11/73 &amp; Before 5/19/78)</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Storage Vessels for Petroleum Liquids (After 6/11/73 &amp; Before 5/19/78)</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Liquid Storage Vessels (Including Petroleum Liquid Stg/Vessels) After 7/23/84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Secondary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Secondary Brass and Bronze Production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Emissions from Basic Oxygen Process Furnaces (Construction Commenced After June 11, 1973)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Secondary Emissions from Basic Oxygen Process Steelmaking Facilities Construction is Commenced After January 20, 1983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Sewage Treatment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Copper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Q</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Zinc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Primary Aluminum Reduction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Wet Process Phosphoric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U</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Superphosphoric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Diammonium 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Triple Superphosphate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Fertilizer Industry: Granular Triple Superphosphate Storage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Coal Preparation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Z</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Ferroalloy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Steel Plants: Electric Arc Furnaces After 10/21/74 &amp; On or Before 8/17/83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Steel Plants: Electric Arc Furnaces &amp; Argon-Oxygen Decarburization Vessels After 8/07/83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lastRenderedPageBreak/>
                    <w:t>BB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Kraft Pulp Mills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Glass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Grain Elevators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Surface Coating of Metal Furnature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Stationary Gas Turbines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HH</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Lime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KK</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Lead-Acid Battery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LL</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MM</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Automobile &amp; Light Duty Truck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NN</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PP</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Ammonium Sulfate Manufacture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QQ</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Graphic Arts Industry: Publication Rotogravure Printing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RR</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Pressure Sensitive Tape and Label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Industrial Surface Coating: Large Appliances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TT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Metal Coil Surface Coating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UU</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Asphalt Processing and Asphalt Roofing Manufacture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VV</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VOC Equipment Leaks in the SOCMI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VVa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VOC Equipment Leaks in the SOCMI Industry (After November 7, 2006)</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XX</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Bulk Gasoline Terminals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New Residential Wood Heaters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No</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BBB</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Rubber Tire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DDD</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Volatile Organic Compound (VOC) Emissions from the Polymer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FFF</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Flexible Vinyl and Urethane Coating and Printing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GGG</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VOC Equipment Leaks in 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HHH</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Synthetic Fiber Production</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III</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VOC Emissions from the SOCMI Air Oxidation Unit Processes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JJJ</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Petroleum Dry Cleaners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KKK</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VOC Equipment Leaks From Onshore Natural Gas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LLL</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Onshore Natural Gas Processing: SO2 Emissions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NNN</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VOC Emissions from SOCMI Distillation Operations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OOO</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Nonmetallic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PPP</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Wool Fiberglass Insulation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QQQ</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VOC Emissions From Petroleum Refinery Wastewater Systems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RRR</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VOC Emissions from SOCMI Reactor Processes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SSS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Magnetic Tape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TTT</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Industrial Surface Coating: Plastic Parts for Business Machines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UUU</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Calciners and Dryers in Mineral Industries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VVV</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Polymeric Coating of Supporting Substrates Facilities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lastRenderedPageBreak/>
                    <w:t>WWW</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Municipal Solid Waste Landfills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AAAA</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Small Municipal Waste Combustion Units (Construction is Commenced After 8/30/99 or Modification/Reconstruction is Commenced After 6/06/2001)</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CCCC</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Commercial &amp; Industrial Solid Waste Incineration Units (Construction is Commenced After 11/30/1999 or Modification/Reconstruction is Commenced on or After 6/01/2001)</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EEEE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Other Solid Waste Incineration Units (Constructed after 12/09/2004 or Modicatation/Reconstruction is commenced on or after 06/16/2004)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IIII</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Stationary Compression Ignition Internal Combustion Engines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JJJJ</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Stationary Spark Ignition Internal Combustion Engines. Including amendments issued October 8, 2008. (73 FR 59175)</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KKKK</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Stationary Combustion Turbines (Construction Commenced After 02/18/2005)</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Yes</w:t>
                  </w:r>
                </w:p>
              </w:tc>
            </w:tr>
          </w:tbl>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vertAlign w:val="superscript"/>
              </w:rPr>
              <w:t>1</w:t>
            </w:r>
            <w:r w:rsidRPr="00C342CD">
              <w:rPr>
                <w:rFonts w:ascii="Arial" w:eastAsia="Times New Roman" w:hAnsi="Arial" w:cs="Arial"/>
                <w:sz w:val="14"/>
                <w:szCs w:val="14"/>
              </w:rPr>
              <w:t> The Louisiana Department of Environmental Quality (LDEQ) has been delegated all Part 60 standards promulgated by EPA, except subpart AAA—Standards of Performance for New Residential Wood Heaters—as amended in the Federal Register through July 1, 2008.</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 xml:space="preserve">(3) </w:t>
            </w:r>
            <w:r w:rsidRPr="00C342CD">
              <w:rPr>
                <w:rFonts w:ascii="Arial" w:eastAsia="Times New Roman" w:hAnsi="Arial" w:cs="Arial"/>
                <w:i/>
                <w:iCs/>
                <w:sz w:val="14"/>
                <w:szCs w:val="14"/>
              </w:rPr>
              <w:t>Albuquerque-Bernalillo County Air Quality Control Board.</w:t>
            </w:r>
            <w:r w:rsidRPr="00C342CD">
              <w:rPr>
                <w:rFonts w:ascii="Arial" w:eastAsia="Times New Roman" w:hAnsi="Arial" w:cs="Arial"/>
                <w:sz w:val="14"/>
                <w:szCs w:val="14"/>
              </w:rPr>
              <w:t xml:space="preserve"> The Albuquerque-Bernalillo County Air Quality Control Board has been delegated all part 60 standards promulgated by EPA, except Subpart AAA—Standards of Performance for New Residential Wood Heaters; Subpart WWW—Standards of Performance for Municipal Solid Waste Landfills; Subpart Cc—Emissions Guidelines and Compliance Times for Municipal Solid Waste Landfills, as amended in the </w:t>
            </w:r>
            <w:r w:rsidRPr="00C342CD">
              <w:rPr>
                <w:rFonts w:ascii="Arial" w:eastAsia="Times New Roman" w:hAnsi="Arial" w:cs="Arial"/>
                <w:smallCaps/>
                <w:sz w:val="14"/>
                <w:szCs w:val="14"/>
              </w:rPr>
              <w:t>Federal Register</w:t>
            </w:r>
            <w:r w:rsidRPr="00C342CD">
              <w:rPr>
                <w:rFonts w:ascii="Arial" w:eastAsia="Times New Roman" w:hAnsi="Arial" w:cs="Arial"/>
                <w:sz w:val="14"/>
                <w:szCs w:val="14"/>
              </w:rPr>
              <w:t xml:space="preserve"> through July 1, 2004.</w:t>
            </w:r>
          </w:p>
          <w:p w:rsidR="00C342CD" w:rsidRPr="00C342CD" w:rsidRDefault="00C342CD" w:rsidP="00300CD8">
            <w:pPr>
              <w:spacing w:before="200"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[40 FR 18169, Apr. 25, 1975]</w:t>
            </w:r>
            <w:r w:rsidRPr="00C342CD">
              <w:rPr>
                <w:rFonts w:ascii="Arial" w:eastAsia="Times New Roman" w:hAnsi="Arial" w:cs="Arial"/>
                <w:smallCaps/>
                <w:sz w:val="13"/>
                <w:szCs w:val="13"/>
              </w:rPr>
              <w:t>Editorial Note:</w:t>
            </w:r>
            <w:r w:rsidRPr="00C342CD">
              <w:rPr>
                <w:rFonts w:ascii="Arial" w:eastAsia="Times New Roman" w:hAnsi="Arial" w:cs="Arial"/>
                <w:sz w:val="13"/>
                <w:szCs w:val="13"/>
              </w:rPr>
              <w:t xml:space="preserve"> For </w:t>
            </w:r>
            <w:r w:rsidRPr="00C342CD">
              <w:rPr>
                <w:rFonts w:ascii="Arial" w:eastAsia="Times New Roman" w:hAnsi="Arial" w:cs="Arial"/>
                <w:smallCaps/>
                <w:sz w:val="13"/>
                <w:szCs w:val="13"/>
              </w:rPr>
              <w:t>Federal Register</w:t>
            </w:r>
            <w:r w:rsidRPr="00C342CD">
              <w:rPr>
                <w:rFonts w:ascii="Arial" w:eastAsia="Times New Roman" w:hAnsi="Arial" w:cs="Arial"/>
                <w:sz w:val="13"/>
                <w:szCs w:val="13"/>
              </w:rPr>
              <w:t xml:space="preserve"> citations affecting § 60.4 see the List of CFR Sections Affected, which appears in the Finding Aids section of the printed volume and at </w:t>
            </w:r>
            <w:proofErr w:type="gramStart"/>
            <w:r w:rsidRPr="00C342CD">
              <w:rPr>
                <w:rFonts w:ascii="Arial" w:eastAsia="Times New Roman" w:hAnsi="Arial" w:cs="Arial"/>
                <w:i/>
                <w:iCs/>
                <w:sz w:val="13"/>
                <w:szCs w:val="13"/>
              </w:rPr>
              <w:t>www.fdsys.gov</w:t>
            </w:r>
            <w:r w:rsidRPr="00C342CD">
              <w:rPr>
                <w:rFonts w:ascii="Arial" w:eastAsia="Times New Roman" w:hAnsi="Arial" w:cs="Arial"/>
                <w:sz w:val="13"/>
                <w:szCs w:val="13"/>
              </w:rPr>
              <w:t xml:space="preserve"> .</w:t>
            </w:r>
            <w:proofErr w:type="gramEnd"/>
            <w:r w:rsidRPr="00C342CD">
              <w:rPr>
                <w:rFonts w:ascii="Arial" w:eastAsia="Times New Roman" w:hAnsi="Arial" w:cs="Arial"/>
                <w:sz w:val="13"/>
                <w:szCs w:val="13"/>
              </w:rPr>
              <w:t xml:space="preserve"> </w:t>
            </w:r>
          </w:p>
          <w:p w:rsidR="00C342CD" w:rsidRPr="00C342CD" w:rsidRDefault="00C342CD" w:rsidP="00C342CD">
            <w:pPr>
              <w:spacing w:before="200" w:after="100" w:line="240" w:lineRule="auto"/>
              <w:outlineLvl w:val="1"/>
              <w:rPr>
                <w:rFonts w:ascii="Arial" w:eastAsia="Times New Roman" w:hAnsi="Arial" w:cs="Arial"/>
                <w:b/>
                <w:bCs/>
                <w:sz w:val="14"/>
                <w:szCs w:val="14"/>
              </w:rPr>
            </w:pPr>
            <w:bookmarkStart w:id="3" w:name="40:7.0.1.1.1.1.151.5"/>
            <w:bookmarkEnd w:id="3"/>
            <w:r w:rsidRPr="00C342CD">
              <w:rPr>
                <w:rFonts w:ascii="Arial" w:eastAsia="Times New Roman" w:hAnsi="Arial" w:cs="Arial"/>
                <w:b/>
                <w:bCs/>
                <w:sz w:val="14"/>
                <w:szCs w:val="14"/>
              </w:rPr>
              <w:t>§ 60.5   Determination of construction or modification.</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(a) When requested to do so by an owner or operator, the Administrator will make a determination of whether action taken or intended to be taken by such owner or operator constitutes construction (including reconstruction) or modification or the commencement thereof within the meaning of this part.</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(b) The Administrator will respond to any request for a determination under paragraph (a) of this section within 30 days of receipt of such request.</w:t>
            </w:r>
          </w:p>
          <w:p w:rsidR="00C342CD" w:rsidRPr="00C342CD" w:rsidRDefault="00C342CD" w:rsidP="00C342CD">
            <w:pPr>
              <w:spacing w:before="200"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[40 FR 58418, Dec. 16, 1975]</w:t>
            </w:r>
          </w:p>
          <w:p w:rsidR="00C342CD" w:rsidRPr="00C342CD" w:rsidRDefault="00C342CD" w:rsidP="00C342CD">
            <w:pPr>
              <w:spacing w:before="200" w:after="100" w:line="240" w:lineRule="auto"/>
              <w:outlineLvl w:val="1"/>
              <w:rPr>
                <w:rFonts w:ascii="Arial" w:eastAsia="Times New Roman" w:hAnsi="Arial" w:cs="Arial"/>
                <w:b/>
                <w:bCs/>
                <w:sz w:val="14"/>
                <w:szCs w:val="14"/>
              </w:rPr>
            </w:pPr>
            <w:bookmarkStart w:id="4" w:name="40:7.0.1.1.1.1.151.6"/>
            <w:bookmarkEnd w:id="4"/>
            <w:r w:rsidRPr="00C342CD">
              <w:rPr>
                <w:rFonts w:ascii="Arial" w:eastAsia="Times New Roman" w:hAnsi="Arial" w:cs="Arial"/>
                <w:b/>
                <w:bCs/>
                <w:sz w:val="14"/>
                <w:szCs w:val="14"/>
              </w:rPr>
              <w:t>§ 60.6   Review of plans.</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(a) When requested to do so by an owner or operator, the Administrator will review plans for construction or modification for the purpose of providing technical advice to the owner or operator.</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(b)(1) A separate request shall be submitted for each construction or modification project.</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(2) Each request shall identify the location of such project, and be accompanied by technical information describing the proposed nature, size, design, and method of operation of each affected facility involved in such project, including information on any equipment to be used for measurement or control of emissions.</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(c) Neither a request for plans review nor advice furnished by the Administrator in response to such request shall (1) relieve an owner or operator of legal responsibility for compliance with any provision of this part or of any applicable State or local requirement, or (2) prevent the Administrator from implementing or enforcing any provision of this part or taking any other action authorized by the Act.</w:t>
            </w:r>
          </w:p>
          <w:p w:rsidR="00C342CD" w:rsidRPr="00C342CD" w:rsidRDefault="00C342CD" w:rsidP="00C342CD">
            <w:pPr>
              <w:spacing w:before="200"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[36 FR 24877, Dec. 23, 1971, as amended at 39 FR 9314, Mar. 8, 1974]</w:t>
            </w:r>
          </w:p>
          <w:p w:rsidR="00C342CD" w:rsidRPr="00C342CD" w:rsidRDefault="00C342CD" w:rsidP="00C342CD">
            <w:pPr>
              <w:spacing w:before="200" w:after="100" w:line="240" w:lineRule="auto"/>
              <w:outlineLvl w:val="1"/>
              <w:rPr>
                <w:rFonts w:ascii="Arial" w:eastAsia="Times New Roman" w:hAnsi="Arial" w:cs="Arial"/>
                <w:b/>
                <w:bCs/>
                <w:sz w:val="14"/>
                <w:szCs w:val="14"/>
              </w:rPr>
            </w:pPr>
            <w:bookmarkStart w:id="5" w:name="40:7.0.1.1.1.1.151.7"/>
            <w:bookmarkEnd w:id="5"/>
            <w:r w:rsidRPr="00C342CD">
              <w:rPr>
                <w:rFonts w:ascii="Arial" w:eastAsia="Times New Roman" w:hAnsi="Arial" w:cs="Arial"/>
                <w:b/>
                <w:bCs/>
                <w:sz w:val="14"/>
                <w:szCs w:val="14"/>
              </w:rPr>
              <w:t>§ 60.7   Notification and record keeping.</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(a) Any owner or operator subject to the provisions of this part shall furnish the Administrator written notification or, if acceptable to both the Administrator and the owner or operator of a source, electronic notification, as follows:</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(1) A notification of the date construction (or reconstruction as defined under § 60.15) of an affected facility is commenced postmarked no later than 30 days after such date. This requirement shall not apply in the case of mass-produced facilities which are purchased in completed form.</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lastRenderedPageBreak/>
              <w:t>(2) [Reserved]</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(3) A notification of the actual date of initial startup of an affected facility postmarked within 15 days after such date.</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(4) A notification of any physical or operational change to an existing facility which may increase the emission rate of any air pollutant to which a standard applies, unless that change is specifically exempted under an applicable subpart or in § 60.14(e). This notice shall be postmarked 60 days or as soon as practicable before the change is commenced and shall include information describing the precise nature of the change, present and proposed emission control systems, productive capacity of the facility before and after the change, and the expected completion date of the change. The Administrator may request additional relevant information subsequent to this notice.</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(5) A notification of the date upon which demonstration of the continuous monitoring system performance commences in accordance with § 60.13(c). Notification shall be postmarked not less than 30 days prior to such date.</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(6) A notification of the anticipated date for conducting the opacity observations required by § 60.11(e</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1) of this part. The notification shall also include, if appropriate, a request for the Administrator to provide a visible emissions reader during a performance test. The notification shall be postmarked not less than 30 days prior to such date.</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(7) A notification that continuous opacity monitoring system data results will be used to determine compliance with the applicable opacity standard during a performance test required by § 60.8 in lieu of Method 9 observation data as allowed by § 60.11(e)(5) of this part. This notification shall be postmarked not less than 30 days prior to the date of the performance test.</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(b) Any owner or operator subject to the provisions of this part shall maintain records of the occurrence and duration of any startup, shutdown, or malfunction in the operation of an affected facility; any malfunction of the air pollution control equipment; or any periods during which a continuous monitoring system or monitoring device is inoperative.</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(c) Each owner or operator required to install a continuous monitoring device shall submit excess emissions and monitoring systems performance report (excess emissions are defined in applicable subparts) and-or summary report form (see paragraph (d) of this section) to the Administrator semiannually, except when: more frequent reporting is specifically required by an applicable subpart; or the Administrator, on a case-by-case basis, determines that more frequent reporting is necessary to accurately assess the compliance status of the source. All reports shall be postmarked by the 30th day following the end of each six-month period. Written reports of excess emissions shall include the following information:</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(1) The magnitude of excess emissions computed in accordance with § 60.13(h), any conversion factor(s) used, and the date and time of commencement and completion of each time period of excess emissions. The process operating time during the reporting period.</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(2) Specific identification of each period of excess emissions that occurs during startups, shutdowns, and malfunctions of the affected facility. The nature and cause of any malfunction (if known), the corrective action taken or preventative measures adopted.</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(3) The date and time identifying each period during which the continuous monitoring system was inoperative except for zero and span checks and the nature of the system repairs or adjustments.</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(4) When no excess emissions have occurred or the continuous monitoring system(s) have not been inoperative, repaired, or adjusted, such information shall be stated in the report.</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(d) The summary report form shall contain the information and be in the format shown in figure 1 unless otherwise specified by the Administrator. One summary report form shall be submitted for each pollutant monitored at each affected facility.</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(1) If the total duration of excess emissions for the reporting period is less than 1 percent of the total operating time for the reporting period and CMS downtime for the reporting period is less than 5 percent of the total operating time for the reporting period, only the summary report form shall be submitted and the excess emission report described in § 60.7(c) need not be submitted unless requested by the Administrator.</w:t>
            </w:r>
          </w:p>
          <w:p w:rsidR="00C342CD" w:rsidRPr="00300CD8"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(2) If the total duration of excess emissions for the reporting period is 1 percent or greater of the total operating time for the reporting period or the total CMS downtime for the reporting period is 5 percent or greater of the total operating time for the reporting period, the summary report form and the excess emission report described in § 60.7(c) shall both be submitted.</w:t>
            </w:r>
            <w:r w:rsidRPr="00C342CD">
              <w:rPr>
                <w:rFonts w:ascii="Arial" w:eastAsia="Times New Roman" w:hAnsi="Arial" w:cs="Arial"/>
                <w:smallCaps/>
                <w:kern w:val="36"/>
                <w:sz w:val="14"/>
                <w:szCs w:val="14"/>
              </w:rPr>
              <w:t>Figure 1—Summary Report—Gaseous and Opacity Excess Emission and Monitoring System Performance</w:t>
            </w:r>
          </w:p>
          <w:p w:rsidR="00C342CD" w:rsidRPr="00C342CD" w:rsidRDefault="00C342CD" w:rsidP="00C342CD">
            <w:pPr>
              <w:spacing w:before="200" w:after="100" w:line="240" w:lineRule="auto"/>
              <w:ind w:left="480" w:hanging="480"/>
              <w:jc w:val="center"/>
              <w:rPr>
                <w:rFonts w:ascii="Arial" w:eastAsia="Times New Roman" w:hAnsi="Arial" w:cs="Arial"/>
                <w:sz w:val="13"/>
                <w:szCs w:val="13"/>
              </w:rPr>
            </w:pPr>
            <w:r w:rsidRPr="00C342CD">
              <w:rPr>
                <w:rFonts w:ascii="Arial" w:eastAsia="Times New Roman" w:hAnsi="Arial" w:cs="Arial"/>
                <w:sz w:val="13"/>
                <w:szCs w:val="13"/>
              </w:rPr>
              <w:t>Pollutant (Circle One—SO</w:t>
            </w:r>
            <w:r w:rsidRPr="00C342CD">
              <w:rPr>
                <w:rFonts w:ascii="Arial" w:eastAsia="Times New Roman" w:hAnsi="Arial" w:cs="Arial"/>
                <w:sz w:val="9"/>
                <w:szCs w:val="9"/>
                <w:vertAlign w:val="subscript"/>
              </w:rPr>
              <w:t>2</w:t>
            </w:r>
            <w:r w:rsidRPr="00C342CD">
              <w:rPr>
                <w:rFonts w:ascii="Arial" w:eastAsia="Times New Roman" w:hAnsi="Arial" w:cs="Arial"/>
                <w:sz w:val="13"/>
                <w:szCs w:val="13"/>
              </w:rPr>
              <w:t xml:space="preserve"> /NO</w:t>
            </w:r>
            <w:r w:rsidRPr="00C342CD">
              <w:rPr>
                <w:rFonts w:ascii="Arial" w:eastAsia="Times New Roman" w:hAnsi="Arial" w:cs="Arial"/>
                <w:sz w:val="9"/>
                <w:szCs w:val="9"/>
                <w:vertAlign w:val="subscript"/>
              </w:rPr>
              <w:t>X</w:t>
            </w:r>
            <w:r w:rsidRPr="00C342CD">
              <w:rPr>
                <w:rFonts w:ascii="Arial" w:eastAsia="Times New Roman" w:hAnsi="Arial" w:cs="Arial"/>
                <w:sz w:val="13"/>
                <w:szCs w:val="13"/>
              </w:rPr>
              <w:t xml:space="preserve"> /TRS/H</w:t>
            </w:r>
            <w:r w:rsidRPr="00C342CD">
              <w:rPr>
                <w:rFonts w:ascii="Arial" w:eastAsia="Times New Roman" w:hAnsi="Arial" w:cs="Arial"/>
                <w:sz w:val="9"/>
                <w:szCs w:val="9"/>
                <w:vertAlign w:val="subscript"/>
              </w:rPr>
              <w:t>2</w:t>
            </w:r>
            <w:r w:rsidRPr="00C342CD">
              <w:rPr>
                <w:rFonts w:ascii="Arial" w:eastAsia="Times New Roman" w:hAnsi="Arial" w:cs="Arial"/>
                <w:sz w:val="13"/>
                <w:szCs w:val="13"/>
              </w:rPr>
              <w:t xml:space="preserve"> S/CO/Opacity)</w:t>
            </w:r>
          </w:p>
          <w:p w:rsidR="00C342CD" w:rsidRPr="00C342CD" w:rsidRDefault="00C342CD" w:rsidP="00C342CD">
            <w:pPr>
              <w:spacing w:before="200" w:after="100" w:line="240" w:lineRule="auto"/>
              <w:ind w:left="480" w:hanging="480"/>
              <w:jc w:val="center"/>
              <w:rPr>
                <w:rFonts w:ascii="Arial" w:eastAsia="Times New Roman" w:hAnsi="Arial" w:cs="Arial"/>
                <w:sz w:val="13"/>
                <w:szCs w:val="13"/>
              </w:rPr>
            </w:pPr>
            <w:r w:rsidRPr="00C342CD">
              <w:rPr>
                <w:rFonts w:ascii="Arial" w:eastAsia="Times New Roman" w:hAnsi="Arial" w:cs="Arial"/>
                <w:sz w:val="13"/>
                <w:szCs w:val="13"/>
              </w:rPr>
              <w:t>Reporting period dates: From _____ to _____</w:t>
            </w:r>
          </w:p>
          <w:p w:rsidR="00C342CD" w:rsidRPr="00C342CD" w:rsidRDefault="00C342CD" w:rsidP="00C342CD">
            <w:pPr>
              <w:spacing w:before="200" w:after="100" w:line="240" w:lineRule="auto"/>
              <w:ind w:left="480" w:hanging="480"/>
              <w:jc w:val="center"/>
              <w:rPr>
                <w:rFonts w:ascii="Arial" w:eastAsia="Times New Roman" w:hAnsi="Arial" w:cs="Arial"/>
                <w:sz w:val="13"/>
                <w:szCs w:val="13"/>
              </w:rPr>
            </w:pPr>
            <w:r w:rsidRPr="00C342CD">
              <w:rPr>
                <w:rFonts w:ascii="Arial" w:eastAsia="Times New Roman" w:hAnsi="Arial" w:cs="Arial"/>
                <w:sz w:val="13"/>
                <w:szCs w:val="13"/>
              </w:rPr>
              <w:t>Company:</w:t>
            </w:r>
          </w:p>
          <w:p w:rsidR="00C342CD" w:rsidRPr="00C342CD" w:rsidRDefault="00C342CD" w:rsidP="00C342CD">
            <w:pPr>
              <w:spacing w:after="0" w:line="240" w:lineRule="auto"/>
              <w:rPr>
                <w:rFonts w:ascii="Arial" w:eastAsia="Times New Roman" w:hAnsi="Arial" w:cs="Arial"/>
                <w:sz w:val="13"/>
                <w:szCs w:val="13"/>
              </w:rPr>
            </w:pPr>
            <w:r w:rsidRPr="00C342CD">
              <w:rPr>
                <w:rFonts w:ascii="Arial" w:eastAsia="Times New Roman" w:hAnsi="Arial" w:cs="Arial"/>
                <w:sz w:val="13"/>
              </w:rPr>
              <w:t>Emission Limitation</w:t>
            </w:r>
          </w:p>
          <w:p w:rsidR="00C342CD" w:rsidRPr="00C342CD" w:rsidRDefault="00C342CD" w:rsidP="00C342CD">
            <w:pPr>
              <w:spacing w:before="200" w:after="100" w:line="240" w:lineRule="auto"/>
              <w:ind w:left="480" w:hanging="480"/>
              <w:jc w:val="center"/>
              <w:rPr>
                <w:rFonts w:ascii="Arial" w:eastAsia="Times New Roman" w:hAnsi="Arial" w:cs="Arial"/>
                <w:sz w:val="13"/>
                <w:szCs w:val="13"/>
              </w:rPr>
            </w:pPr>
            <w:r w:rsidRPr="00C342CD">
              <w:rPr>
                <w:rFonts w:ascii="Arial" w:eastAsia="Times New Roman" w:hAnsi="Arial" w:cs="Arial"/>
                <w:sz w:val="13"/>
                <w:szCs w:val="13"/>
              </w:rPr>
              <w:lastRenderedPageBreak/>
              <w:t>Address:</w:t>
            </w:r>
          </w:p>
          <w:p w:rsidR="00C342CD" w:rsidRPr="00C342CD" w:rsidRDefault="00C342CD" w:rsidP="00C342CD">
            <w:pPr>
              <w:spacing w:after="0" w:line="240" w:lineRule="auto"/>
              <w:rPr>
                <w:rFonts w:ascii="Arial" w:eastAsia="Times New Roman" w:hAnsi="Arial" w:cs="Arial"/>
                <w:sz w:val="13"/>
                <w:szCs w:val="13"/>
              </w:rPr>
            </w:pPr>
            <w:r w:rsidRPr="00C342CD">
              <w:rPr>
                <w:rFonts w:ascii="Arial" w:eastAsia="Times New Roman" w:hAnsi="Arial" w:cs="Arial"/>
                <w:sz w:val="13"/>
              </w:rPr>
              <w:t>Monitor Manufacturer and Model No.</w:t>
            </w:r>
          </w:p>
          <w:p w:rsidR="00C342CD" w:rsidRPr="00C342CD" w:rsidRDefault="00C342CD" w:rsidP="00C342CD">
            <w:pPr>
              <w:spacing w:after="0" w:line="240" w:lineRule="auto"/>
              <w:rPr>
                <w:rFonts w:ascii="Arial" w:eastAsia="Times New Roman" w:hAnsi="Arial" w:cs="Arial"/>
                <w:sz w:val="13"/>
                <w:szCs w:val="13"/>
              </w:rPr>
            </w:pPr>
            <w:r w:rsidRPr="00C342CD">
              <w:rPr>
                <w:rFonts w:ascii="Arial" w:eastAsia="Times New Roman" w:hAnsi="Arial" w:cs="Arial"/>
                <w:sz w:val="13"/>
              </w:rPr>
              <w:t>Date of Latest CMS Certification or Audit</w:t>
            </w:r>
          </w:p>
          <w:p w:rsidR="00C342CD" w:rsidRPr="00C342CD" w:rsidRDefault="00C342CD" w:rsidP="00C342CD">
            <w:pPr>
              <w:spacing w:before="200" w:after="100" w:line="240" w:lineRule="auto"/>
              <w:ind w:left="480" w:hanging="480"/>
              <w:jc w:val="center"/>
              <w:rPr>
                <w:rFonts w:ascii="Arial" w:eastAsia="Times New Roman" w:hAnsi="Arial" w:cs="Arial"/>
                <w:sz w:val="13"/>
                <w:szCs w:val="13"/>
              </w:rPr>
            </w:pPr>
            <w:r w:rsidRPr="00C342CD">
              <w:rPr>
                <w:rFonts w:ascii="Arial" w:eastAsia="Times New Roman" w:hAnsi="Arial" w:cs="Arial"/>
                <w:sz w:val="13"/>
                <w:szCs w:val="13"/>
              </w:rPr>
              <w:t>Process Unit(s) Description:</w:t>
            </w:r>
          </w:p>
          <w:p w:rsidR="00C342CD" w:rsidRPr="00C342CD" w:rsidRDefault="00C342CD" w:rsidP="00C342CD">
            <w:pPr>
              <w:spacing w:after="0" w:line="240" w:lineRule="auto"/>
              <w:rPr>
                <w:rFonts w:ascii="Arial" w:eastAsia="Times New Roman" w:hAnsi="Arial" w:cs="Arial"/>
                <w:sz w:val="13"/>
                <w:szCs w:val="13"/>
              </w:rPr>
            </w:pPr>
            <w:r w:rsidRPr="00C342CD">
              <w:rPr>
                <w:rFonts w:ascii="Arial" w:eastAsia="Times New Roman" w:hAnsi="Arial" w:cs="Arial"/>
                <w:sz w:val="13"/>
              </w:rPr>
              <w:t>Total source operating time in reporting period </w:t>
            </w:r>
            <w:r w:rsidRPr="00C342CD">
              <w:rPr>
                <w:rFonts w:ascii="Arial" w:eastAsia="Times New Roman" w:hAnsi="Arial" w:cs="Arial"/>
                <w:sz w:val="9"/>
                <w:vertAlign w:val="superscript"/>
              </w:rPr>
              <w:t>1</w:t>
            </w:r>
            <w:r w:rsidRPr="00C342CD">
              <w:rPr>
                <w:rFonts w:ascii="Arial" w:eastAsia="Times New Roman" w:hAnsi="Arial" w:cs="Arial"/>
                <w:sz w:val="13"/>
              </w:rPr>
              <w:t xml:space="preserve">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4810"/>
              <w:gridCol w:w="253"/>
              <w:gridCol w:w="4034"/>
              <w:gridCol w:w="253"/>
            </w:tblGrid>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Emission data summary </w:t>
                  </w:r>
                  <w:r w:rsidRPr="00C342CD">
                    <w:rPr>
                      <w:rFonts w:ascii="Arial" w:eastAsia="Times New Roman" w:hAnsi="Arial" w:cs="Arial"/>
                      <w:b/>
                      <w:bCs/>
                      <w:sz w:val="14"/>
                      <w:szCs w:val="14"/>
                      <w:vertAlign w:val="superscript"/>
                    </w:rPr>
                    <w:t>1</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CMS performance summary </w:t>
                  </w:r>
                  <w:r w:rsidRPr="00C342CD">
                    <w:rPr>
                      <w:rFonts w:ascii="Arial" w:eastAsia="Times New Roman" w:hAnsi="Arial" w:cs="Arial"/>
                      <w:b/>
                      <w:bCs/>
                      <w:sz w:val="14"/>
                      <w:szCs w:val="14"/>
                      <w:vertAlign w:val="superscript"/>
                    </w:rPr>
                    <w:t>1</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   </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1. Duration of excess emissions in reporting period due to:</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1. CMS downtime in reporting period due to:</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tcMar>
                    <w:top w:w="120" w:type="dxa"/>
                    <w:left w:w="480" w:type="dxa"/>
                    <w:bottom w:w="15" w:type="dxa"/>
                    <w:right w:w="15" w:type="dxa"/>
                  </w:tcMar>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 Startup/shutdown</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   a. Monitor equipment malfunctions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tcMar>
                    <w:top w:w="120" w:type="dxa"/>
                    <w:left w:w="480" w:type="dxa"/>
                    <w:bottom w:w="15" w:type="dxa"/>
                    <w:right w:w="15" w:type="dxa"/>
                  </w:tcMar>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 Control equipment problems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   b. Non-Monitor equipment malfunctions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tcMar>
                    <w:top w:w="120" w:type="dxa"/>
                    <w:left w:w="480" w:type="dxa"/>
                    <w:bottom w:w="15" w:type="dxa"/>
                    <w:right w:w="15" w:type="dxa"/>
                  </w:tcMar>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 Process problems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   c. Quality assurance calibration</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tcMar>
                    <w:top w:w="120" w:type="dxa"/>
                    <w:left w:w="480" w:type="dxa"/>
                    <w:bottom w:w="15" w:type="dxa"/>
                    <w:right w:w="15" w:type="dxa"/>
                  </w:tcMar>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 Other known causes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   d. Other known causes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tcMar>
                    <w:top w:w="120" w:type="dxa"/>
                    <w:left w:w="480" w:type="dxa"/>
                    <w:bottom w:w="15" w:type="dxa"/>
                    <w:right w:w="15" w:type="dxa"/>
                  </w:tcMar>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e. Unknown causes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   e. Unknown causes</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2. Total duration of excess emission</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2. Total CMS Downtime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3. Total duration of excess emissions × (100) [Total source operating time]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 </w:t>
                  </w:r>
                  <w:r w:rsidRPr="00C342CD">
                    <w:rPr>
                      <w:rFonts w:ascii="Arial" w:eastAsia="Times New Roman" w:hAnsi="Arial" w:cs="Arial"/>
                      <w:sz w:val="14"/>
                      <w:szCs w:val="14"/>
                      <w:vertAlign w:val="superscript"/>
                    </w:rPr>
                    <w:t>2</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3. [Total CMS Downtime] × (100) [Total source operating time]</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 </w:t>
                  </w:r>
                  <w:r w:rsidRPr="00C342CD">
                    <w:rPr>
                      <w:rFonts w:ascii="Arial" w:eastAsia="Times New Roman" w:hAnsi="Arial" w:cs="Arial"/>
                      <w:sz w:val="14"/>
                      <w:szCs w:val="14"/>
                      <w:vertAlign w:val="superscript"/>
                    </w:rPr>
                    <w:t>2</w:t>
                  </w:r>
                </w:p>
              </w:tc>
            </w:tr>
          </w:tbl>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3"/>
                <w:szCs w:val="13"/>
              </w:rPr>
            </w:pPr>
            <w:r w:rsidRPr="00C342CD">
              <w:rPr>
                <w:rFonts w:ascii="Arial" w:eastAsia="Times New Roman" w:hAnsi="Arial" w:cs="Arial"/>
                <w:sz w:val="13"/>
                <w:szCs w:val="13"/>
                <w:vertAlign w:val="superscript"/>
              </w:rPr>
              <w:t>1</w:t>
            </w:r>
            <w:r w:rsidRPr="00C342CD">
              <w:rPr>
                <w:rFonts w:ascii="Arial" w:eastAsia="Times New Roman" w:hAnsi="Arial" w:cs="Arial"/>
                <w:sz w:val="13"/>
                <w:szCs w:val="13"/>
              </w:rPr>
              <w:t> For opacity, record all times in minutes. For gases, record all times in hours.</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3"/>
                <w:szCs w:val="13"/>
              </w:rPr>
            </w:pPr>
            <w:r w:rsidRPr="00C342CD">
              <w:rPr>
                <w:rFonts w:ascii="Arial" w:eastAsia="Times New Roman" w:hAnsi="Arial" w:cs="Arial"/>
                <w:sz w:val="13"/>
                <w:szCs w:val="13"/>
                <w:vertAlign w:val="superscript"/>
              </w:rPr>
              <w:t>2</w:t>
            </w:r>
            <w:r w:rsidRPr="00C342CD">
              <w:rPr>
                <w:rFonts w:ascii="Arial" w:eastAsia="Times New Roman" w:hAnsi="Arial" w:cs="Arial"/>
                <w:sz w:val="13"/>
                <w:szCs w:val="13"/>
              </w:rPr>
              <w:t> For the reporting period: If the total duration of excess emissions is 1 percent or greater of the total operating time or the total CMS downtime is 5 percent or greater of the total operating time, both the summary report form and the excess emission report described in § 60.7(c) shall be submitted.</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3"/>
                <w:szCs w:val="13"/>
              </w:rPr>
            </w:pPr>
            <w:r w:rsidRPr="00C342CD">
              <w:rPr>
                <w:rFonts w:ascii="Arial" w:eastAsia="Times New Roman" w:hAnsi="Arial" w:cs="Arial"/>
                <w:sz w:val="13"/>
                <w:szCs w:val="13"/>
              </w:rPr>
              <w:t>On a separate page, describe any changes since last quarter in CMS, process or controls. I certify that the information contained in this report is true, accurate, and complete.</w:t>
            </w:r>
          </w:p>
          <w:p w:rsidR="00C342CD" w:rsidRPr="00C342CD" w:rsidRDefault="00C342CD" w:rsidP="00C342CD">
            <w:pPr>
              <w:spacing w:after="0" w:line="240" w:lineRule="auto"/>
              <w:rPr>
                <w:rFonts w:ascii="Arial" w:eastAsia="Times New Roman" w:hAnsi="Arial" w:cs="Arial"/>
                <w:sz w:val="13"/>
                <w:szCs w:val="13"/>
              </w:rPr>
            </w:pPr>
            <w:r w:rsidRPr="00C342CD">
              <w:rPr>
                <w:rFonts w:ascii="Arial" w:eastAsia="Times New Roman" w:hAnsi="Arial" w:cs="Arial"/>
                <w:sz w:val="13"/>
              </w:rPr>
              <w:t> </w:t>
            </w:r>
          </w:p>
          <w:p w:rsidR="00C342CD" w:rsidRPr="00C342CD" w:rsidRDefault="00C342CD" w:rsidP="00C342CD">
            <w:pPr>
              <w:spacing w:before="200"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Name</w:t>
            </w:r>
          </w:p>
          <w:p w:rsidR="00C342CD" w:rsidRPr="00C342CD" w:rsidRDefault="00C342CD" w:rsidP="00C342CD">
            <w:pPr>
              <w:spacing w:after="0" w:line="240" w:lineRule="auto"/>
              <w:rPr>
                <w:rFonts w:ascii="Arial" w:eastAsia="Times New Roman" w:hAnsi="Arial" w:cs="Arial"/>
                <w:sz w:val="13"/>
                <w:szCs w:val="13"/>
              </w:rPr>
            </w:pPr>
            <w:r w:rsidRPr="00C342CD">
              <w:rPr>
                <w:rFonts w:ascii="Arial" w:eastAsia="Times New Roman" w:hAnsi="Arial" w:cs="Arial"/>
                <w:sz w:val="13"/>
              </w:rPr>
              <w:t> </w:t>
            </w:r>
          </w:p>
          <w:p w:rsidR="00C342CD" w:rsidRPr="00C342CD" w:rsidRDefault="00C342CD" w:rsidP="00C342CD">
            <w:pPr>
              <w:spacing w:before="200"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Signature</w:t>
            </w:r>
          </w:p>
          <w:p w:rsidR="00C342CD" w:rsidRPr="00C342CD" w:rsidRDefault="00C342CD" w:rsidP="00C342CD">
            <w:pPr>
              <w:spacing w:after="0" w:line="240" w:lineRule="auto"/>
              <w:rPr>
                <w:rFonts w:ascii="Arial" w:eastAsia="Times New Roman" w:hAnsi="Arial" w:cs="Arial"/>
                <w:sz w:val="13"/>
                <w:szCs w:val="13"/>
              </w:rPr>
            </w:pPr>
            <w:r w:rsidRPr="00C342CD">
              <w:rPr>
                <w:rFonts w:ascii="Arial" w:eastAsia="Times New Roman" w:hAnsi="Arial" w:cs="Arial"/>
                <w:sz w:val="13"/>
              </w:rPr>
              <w:t> </w:t>
            </w:r>
          </w:p>
          <w:p w:rsidR="00C342CD" w:rsidRPr="00C342CD" w:rsidRDefault="00C342CD" w:rsidP="00C342CD">
            <w:pPr>
              <w:spacing w:before="200"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Title</w:t>
            </w:r>
          </w:p>
          <w:p w:rsidR="00C342CD" w:rsidRPr="00C342CD" w:rsidRDefault="00C342CD" w:rsidP="00C342CD">
            <w:pPr>
              <w:spacing w:after="0" w:line="240" w:lineRule="auto"/>
              <w:rPr>
                <w:rFonts w:ascii="Arial" w:eastAsia="Times New Roman" w:hAnsi="Arial" w:cs="Arial"/>
                <w:sz w:val="13"/>
                <w:szCs w:val="13"/>
              </w:rPr>
            </w:pPr>
            <w:r w:rsidRPr="00C342CD">
              <w:rPr>
                <w:rFonts w:ascii="Arial" w:eastAsia="Times New Roman" w:hAnsi="Arial" w:cs="Arial"/>
                <w:sz w:val="13"/>
              </w:rPr>
              <w:t> </w:t>
            </w:r>
          </w:p>
          <w:p w:rsidR="00C342CD" w:rsidRPr="00C342CD" w:rsidRDefault="00C342CD" w:rsidP="00C342CD">
            <w:pPr>
              <w:spacing w:before="200"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Date</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(e)(1) Notwithstanding the frequency of reporting requirements specified in paragraph (c) of this section, an owner or operator who is required by an applicable subpart to submit excess emissions and monitoring systems performance reports (and summary reports) on a quarterly (or more frequent) basis may reduce the frequency of reporting for that standard to semiannual if the following conditions are met:</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(i) For 1 full year (e.g., 4 quarterly or 12 monthly reporting periods) the affected facility's excess emissions and monitoring systems reports submitted to comply with a standard under this part continually demonstrate that the facility is in compliance with the applicable standard;</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(ii) The owner or operator continues to comply with all recordkeeping and monitoring requirements specified in this subpart and the applicable standard; and</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(iii) The Administrator does not object to a reduced frequency of reporting for the affected facility, as provided in paragraph (e</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2) of this section.</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 xml:space="preserve">(2) The frequency of reporting of excess emissions and monitoring systems performance (and summary) reports may be reduced only after the owner or operator notifies the Administrator in writing of his or her intention to make such a change and the Administrator does not object to the intended </w:t>
            </w:r>
            <w:r w:rsidRPr="00C342CD">
              <w:rPr>
                <w:rFonts w:ascii="Arial" w:eastAsia="Times New Roman" w:hAnsi="Arial" w:cs="Arial"/>
                <w:sz w:val="14"/>
                <w:szCs w:val="14"/>
              </w:rPr>
              <w:lastRenderedPageBreak/>
              <w:t>change. In deciding whether to approve a reduced frequency of reporting, the Administrator may review information concerning the source's entire previous performance history during the required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(3) As soon as monitoring data indicate that the affected facility is not in compliance with any emission limitation or operating parameter specified in the applicable standard, the frequency of reporting shall revert to the frequency specified in the applicable standard, and the owner or operator shall submit an excess emissions and monitoring systems performance report (and summary report, if required) at the next appropriate reporting period following the noncomplying event. After demonstrating compliance with the applicable standard for another full year, the owner or operator may again request approval from the Administrator to reduce the frequency of reporting for that standard as provided for in paragraphs (e)(1) and (e)(2) of this section.</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(f) Any owner or operator subject to the provisions of this part shall maintain a file of all measurements, including continuous monitoring system, monitoring device, and performance testing measurements; all continuous monitoring system performance evaluations; all continuous monitoring system or monitoring device calibration checks; adjustments and maintenance performed on these systems or devices; and all other information required by this part recorded in a permanent form suitable for inspection. The file shall be retained for at least two years following the date of such measurements, maintenance, reports, and records, except as follows:</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(1) 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subhourly measurements as required under paragraph (f) of this section, the owner or operator shall retain the most recent consecutive three averaging periods of subhourly measurements and a file that contains a hard copy of the data acquisition system algorithm used to reduce the measured data into the reportable form of the standard.</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(2) 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subhourly measurements as required under paragraph (f) of this section, the owner or operator shall retain all subhourly measurements for the most recent reporting period. The subhourly measurements shall be retained for 120 days from the date of the most recent summary or excess emission report submitted to the Administrator.</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(3) The Administrator or delegated authority, upon notification to the source, may require the owner or operator to maintain all measurements as required by paragraph (f) of this section, if the Administrator or the delegated authority determines these records are required to more accurately assess the compliance status of the affected source.</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(g) If notification substantially similar to that in paragraph (a) of this section is required by any other State or local agency, sending the Administrator a copy of that notification will satisfy the requirements of paragraph (a) of this section.</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(h) Individual subparts of this part may include specific provisions which clarify or make inapplicable the provisions set forth in this section.</w:t>
            </w:r>
          </w:p>
          <w:p w:rsidR="00C342CD" w:rsidRPr="00C342CD" w:rsidRDefault="00C342CD" w:rsidP="00C342CD">
            <w:pPr>
              <w:spacing w:before="200"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[36 FR 24877, Dec. 28, 1971, as amended at 40 FR 46254, Oct. 6, 1975; 40 FR 58418, Dec. 16, 1975; 45 FR 5617, Jan. 23, 1980; 48 FR 48335, Oct. 18, 1983; 50 FR 53113, Dec. 27, 1985; 52 FR 9781, Mar. 26, 1987; 55 FR 51382, Dec. 13, 1990; 59 FR 12428, Mar. 16, 1994; 59 FR 47265, Sep. 15, 1994; 64 FR 7463, Feb. 12, 1999]</w:t>
            </w:r>
          </w:p>
          <w:p w:rsidR="00C342CD" w:rsidRPr="00C342CD" w:rsidRDefault="00C342CD" w:rsidP="00C342CD">
            <w:pPr>
              <w:spacing w:before="200" w:after="100" w:line="240" w:lineRule="auto"/>
              <w:outlineLvl w:val="1"/>
              <w:rPr>
                <w:rFonts w:ascii="Arial" w:eastAsia="Times New Roman" w:hAnsi="Arial" w:cs="Arial"/>
                <w:b/>
                <w:bCs/>
                <w:sz w:val="14"/>
                <w:szCs w:val="14"/>
              </w:rPr>
            </w:pPr>
            <w:bookmarkStart w:id="6" w:name="40:7.0.1.1.1.1.151.8"/>
            <w:bookmarkEnd w:id="6"/>
            <w:r w:rsidRPr="00C342CD">
              <w:rPr>
                <w:rFonts w:ascii="Arial" w:eastAsia="Times New Roman" w:hAnsi="Arial" w:cs="Arial"/>
                <w:b/>
                <w:bCs/>
                <w:sz w:val="14"/>
                <w:szCs w:val="14"/>
              </w:rPr>
              <w:t>§ 60.8   Performance tests.</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(a) Except as specified in paragraphs (a)(1),(a)(2), (a)(3), and (a)(4) of this section, within 60 days after achieving the maximum production rate at which the affected facility will be operated, but not later than 180 days after initial startup of such facility, or at such other times specified by this part, and at such other times as may be required by the Administrator under section 114 of the Act, the owner or operator of such facility shall conduct performance test(s) and furnish the Administrator a written report of the results of such performance test(s).</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(1) If a force majeure is about to occur, occurs, or has occurred for which the affected owner or operator intends to assert a claim of force majeure, the owner or operator shall notify the Administrator, in writing as soon as practicable following the date the owner or operator first knew, or through due diligence should have known that the event may cause or caused a delay in testing beyond the regulatory deadline, but the notification must occur before the performance test deadline unless the initial force majeure or a subsequent force majeure event delays the notice, and in such cases, the notification shall occur as soon as practicable.</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(2) 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lastRenderedPageBreak/>
              <w:t>(3) 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(4) Until an extension of the performance test deadline has been approved by the Administrator under paragraphs (a</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1), (2), and (3) of this section, the owner or operator of the affected facility remains strictly subject to the requirements of this part.</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(b) Performance tests shall be conducted and data reduced in accordance with the test methods and procedures contained in each applicable subpart unless the Administrator (1) specifies or approves, in specific cases, the use of a reference method with minor changes in methodology, (2) approves the use of an equivalent method, (3) approves the use of an alternative method the results of which he has determined to be adequate for indicating whether a specific source is in compliance, (4) waives the requirement for performance tests because the owner or operator of a source has demonstrated by other means to the Administrator's satisfaction that the affected facility is in compliance with the standard, or (5) approves shorter sampling times and smaller sample volumes when necessitated by process variables or other factors. Nothing in this paragraph shall be construed to abrogate the Administrator's authority to require testing under section 114 of the Act.</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(c) Performance tests shall be conducted under such conditions as the Administrator shall specify to the plant operator based on representative performance of the affected facility. The owner or operator shall make available to the Administrator such records as may be necessary to determine the conditions of the performance tests. Operations during periods of startup, shutdown, and malfunction shall not constitute representative conditions for the purpose of a performance test nor shall emissions in excess of the level of the applicable emission limit during periods of startup, shutdown, and malfunction be considered a violation of the applicable emission limit unless otherwise specified in the applicable standard.</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(d) The owner or operator of an affected facility shall provide the Administrator at least 30 days prior notice of any performance test, except as specified under other subparts, to afford the Administrator the opportunity to have an observer present. If after 30 days notice for an initially scheduled performance test, there is a delay (due to operational problems, etc.) in conducting the scheduled performance test, the owner or operator of an affected facility shall notify the Administrator (or delegated State or local agency) as soon as possible of any delay in the original test date, either by providing at least 7 days prior notice of the rescheduled date of the performance test, or by arranging a rescheduled date with the Administrator (or delegated State or local agency) by mutual agreement.</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(e) The owner or operator of an affected facility shall provide, or cause to be provided, performance testing facilities as follows:</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(1) Sampling ports adequate for test methods applicable to such facility. This includes (i) constructing the air pollution control system such that volumetric flow rates and pollutant emission rates can be accurately determined by applicable test methods and procedures and (ii) providing a stack or duct free of cyclonic flow during performance tests, as demonstrated by applicable test methods and procedures.</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(2) Safe sampling platform(s).</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(3) Safe access to sampling platform(s).</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(4) Utilities for sampling and testing equipment.</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(f) Unless otherwise specified in the applicable subpart, each performance test shall consist of three separate runs using the applicable test method. Each run shall be conducted for the time and under the conditions specified in the applicable standard. For the purpose of determining compliance with an applicable standard, the arithmetic means of results of the three runs shall apply. In the event that a sample is accidentally lost or conditions occur in which one of the three runs must be discontinued because of forced shutdown, failure of an irreplaceable portion of the sample train, extreme meteorological conditions, or other circumstances, beyond the owner or operator's control, compliance may, upon the Administrator's approval, be determined using the arithmetic mean of the results of the two other runs.</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 xml:space="preserve">(g) The performance testing shall include a test method performance audit (PA) during the performance test. The PAs consist of blind audit samples supplied by an accredited audit sample provider and analyzed during the performance test in order to provide a measure of test data bias. Gaseous audit samples are designed to audit the performance of the sampling system as well as the analytical system and must be collected by the sampling system during the compliance test just as the compliance samples are collected. If a liquid or solid audit sample is designed to audit the sampling system, it must also be collected by the sampling system during the compliance test. If multiple sampling systems or sampling trains are used during the compliance test for any of the test methods, the tester is only required to use one of the sampling systems per method to collect the audit sample. The audit sample must be analyzed by the same analyst using the same analytical reagents and analytical system and at the same time as the compliance samples. Retests are required when there is a failure to produce acceptable results for an audit sample. However, if the audit results do not affect the compliance or noncompliance status of the affected facility, the compliance authority may waive the reanalysis requirement, further audits, or retests and accept the results of the compliance test. Acceptance of the test results shall constitute a waiver of the reanalysis requirement, further audits, or retests. The compliance authority may also use the audit sample failure and the compliance test results as evidence to determine the compliance or noncompliance status of the affected facility. A blind audit sample is a sample whose value is known only to the sample provider and is not revealed to the tested facility until after they report the measured value of the audit sample. For pollutants that exist in the gas phase at ambient temperature, the audit sample shall consist of an appropriate concentration of the pollutant in air or nitrogen that can be introduced into the sampling system of the test method at or near the same entry point as a sample from the emission source. If no gas phase audit samples are available, an acceptable alternative is a sample of the pollutant in the same matrix that would be produced when the sample is recovered from the sampling system as required by the test method. For samples that exist only in a liquid or solid form at ambient temperature, the audit sample shall consist of an appropriate concentration of the pollutant in the same matrix that would be produced when the sample is recovered from the sampling system as required by the test method. An accredited audit sample provider (AASP) is an organization that has been accredited to prepare audit samples by an </w:t>
            </w:r>
            <w:r w:rsidRPr="00C342CD">
              <w:rPr>
                <w:rFonts w:ascii="Arial" w:eastAsia="Times New Roman" w:hAnsi="Arial" w:cs="Arial"/>
                <w:sz w:val="14"/>
                <w:szCs w:val="14"/>
              </w:rPr>
              <w:lastRenderedPageBreak/>
              <w:t>independent, third party accrediting body.</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(1) The source owner, operator, or representative of the tested facility shall obtain an audit sample, if commercially available, from an AASP for each test method used for regulatory compliance purposes. No audit samples are required for the following test methods: Methods 3C of Appendix A-3 of Part 60, Methods 6C, 7E, 9, and 10 of Appendix A-4 of Part 60, Method 18 of Appendix A-6 of Part 60, Methods 20, 22, and 25A of Appendix A-7 of Part 60, and Methods 303, 318, 320, and 321 of Appendix A of Part 63. If multiple sources at a single facility are tested during a compliance test event, only one audit sample is required for each method used during a compliance test. The compliance authority responsible for the compliance test may waive the requirement to include an audit sample if they believe that an audit sample is not necessary. “Commercially available” means that two or more independent AASPs have blind audit samples available for purchase. If the source owner, operator, or representative cannot find an audit sample for a specific method, the owner, operator, or representative shall consult the EPA Web site at the following URL, </w:t>
            </w:r>
            <w:r w:rsidRPr="00C342CD">
              <w:rPr>
                <w:rFonts w:ascii="Arial" w:eastAsia="Times New Roman" w:hAnsi="Arial" w:cs="Arial"/>
                <w:i/>
                <w:iCs/>
                <w:sz w:val="14"/>
                <w:szCs w:val="14"/>
              </w:rPr>
              <w:t>http://www.epa.gov/ttn/emc,</w:t>
            </w:r>
            <w:r w:rsidRPr="00C342CD">
              <w:rPr>
                <w:rFonts w:ascii="Arial" w:eastAsia="Times New Roman" w:hAnsi="Arial" w:cs="Arial"/>
                <w:sz w:val="14"/>
                <w:szCs w:val="14"/>
              </w:rPr>
              <w:t xml:space="preserve"> to confirm whether there is a source that can supply an audit sample for that method. If the EPA Web site does not list an available audit sample at least 60 days prior to the beginning of the compliance test, the source owner, operator, or representative shall not be required to include an audit sample as part of the quality assurance program for the compliance test. When ordering an audit sample, the source, operator, or representative shall give the sample provider an estimate for the concentration of each pollutant that is emitted by the source or the estimated concentration of each pollutant based on the permitted level and the name, address, and phone number of the compliance authority. The source owner, operator, or representative shall report the results for the audit sample along with a summary of the emission test results for the audited pollutant to the compliance authority and shall report the results of the audit sample to the AASP. The source owner, operator, or representative shall make both reports at the same time and in the same manner or shall report to the compliance authority first and then report to the AASP. If the method being audited is a method that allows the samples to be analyzed in the field and the tester plans to analyze the samples in the field, the tester may analyze the audit samples prior to collecting the emission samples provided a representative of the compliance authority is present at the testing site. The tester may request and the compliance authority may grant a waiver to the requirement that a representative of the compliance authority must be present at the testing site during the field analysis of an audit sample. The source owner, operator, or representative may report the results of the audit sample to the compliance authority and report the results of the audit sample to the AASP prior to collecting any emission samples. The test protocol and final test report shall document whether an audit sample was ordered and utilized and the pass/fail results as applicable.</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(2) An AASP shall have and shall prepare, analyze, and report the true value of audit samples in accordance with a written technical criteria document that describes how audit samples will be prepared and distributed in a manner that will ensure the integrity of the audit sample program. An acceptable technical criteria document shall contain standard operating procedures for all of the following operations:</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(i) Preparing the sample;</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(ii) Confirming the true concentration of the sample;</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(iii) Defining the acceptance limits for the results from a well qualified tester. This procedure must use well established statistical methods to analyze historical results from well qualified testers. The acceptance limits shall be set so that there is 95 percent confidence that 90 percent of well qualified labs will produce future results that are within the acceptance limit range.</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(iv) Providing the opportunity for the compliance authority to comment on the selected concentration level for an audit sample;</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(v) Distributing the sample to the user in a manner that guarantees that the true value of the sample is unknown to the user;</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(vi) Recording the measured concentration reported by the user and determining if the measured value is within acceptable limits;</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(vii) The AASP shall report the results from each audit sample in a timely manner to the compliance authority and then to the source owner, operator, or representative. The AASP shall make both reports at the same time and in the same manner or shall report to the compliance authority first and then report to the source owner, operator, or representative. The results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and whether the testing company passed or failed the audit. The AASP shall report the true value of the audit sample to the compliance authority. The AASP may report the true value to the source owner, operator, or representative if the AASP's operating plan ensures that no laboratory will receive the same audit sample twice.</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(viii) Evaluating the acceptance limits of samples at least once every two years to determine in cooperation with the voluntary consensus standard body if they should be changed;</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(ix) Maintaining a database, accessible to the compliance authorities, of results from the audit that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the true value of the audit sample, the acceptance range for the measured value, and whether the testing company passed or failed the audit.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(3) The accrediting body shall have a written technical criteria document that describes how it will ensure that the AASP is operating in accordance with the AASP technical criteria document that describes how audit samples are to be prepared and distributed. This document shall contain standard operating procedures for all of the following operations:</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(i) Checking audit samples to confirm their true value as reported by the AASP;</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lastRenderedPageBreak/>
              <w:t>(ii) Performing technical systems audits of the AASP's facilities and operating procedures at least once every two years;</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(iii) Providing standards for use by the voluntary consensus standard body to approve the accrediting body that will accredit the audit sample providers.</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(4) The technical criteria documents for the accredited sample providers and the accrediting body shall be developed through a public process guided by a voluntary consensus standards body (VCSB). The VCSB shall operate in accordance with the procedures and requirements in the Office of Management and Budget Circular A-119. A copy of Circular A-119 is available upon request by writing the Office of Information and Regulatory Affairs, Office of Management and Budget, 725 17th Street, </w:t>
            </w:r>
            <w:proofErr w:type="gramStart"/>
            <w:r w:rsidRPr="00C342CD">
              <w:rPr>
                <w:rFonts w:ascii="Arial" w:eastAsia="Times New Roman" w:hAnsi="Arial" w:cs="Arial"/>
                <w:sz w:val="14"/>
                <w:szCs w:val="14"/>
              </w:rPr>
              <w:t>NW.,</w:t>
            </w:r>
            <w:proofErr w:type="gramEnd"/>
            <w:r w:rsidRPr="00C342CD">
              <w:rPr>
                <w:rFonts w:ascii="Arial" w:eastAsia="Times New Roman" w:hAnsi="Arial" w:cs="Arial"/>
                <w:sz w:val="14"/>
                <w:szCs w:val="14"/>
              </w:rPr>
              <w:t xml:space="preserve"> Washington, DC 20503, by calling (202) 395-6880 or downloading online at </w:t>
            </w:r>
            <w:r w:rsidRPr="00C342CD">
              <w:rPr>
                <w:rFonts w:ascii="Arial" w:eastAsia="Times New Roman" w:hAnsi="Arial" w:cs="Arial"/>
                <w:i/>
                <w:iCs/>
                <w:sz w:val="14"/>
                <w:szCs w:val="14"/>
              </w:rPr>
              <w:t>http://standards.gov/standards_gov/a119.cfm.</w:t>
            </w:r>
            <w:r w:rsidRPr="00C342CD">
              <w:rPr>
                <w:rFonts w:ascii="Arial" w:eastAsia="Times New Roman" w:hAnsi="Arial" w:cs="Arial"/>
                <w:sz w:val="14"/>
                <w:szCs w:val="14"/>
              </w:rPr>
              <w:t xml:space="preserve"> The VCSB shall approve all accrediting bodies. The Administrator will review all technical criteria documents. If the technical criteria documents do not meet the minimum technical requirements in paragraphs (g</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 xml:space="preserve">2) through (4)of this section, the technical criteria documents are not acceptable and the proposed audit sample program is not capable of producing audit samples of sufficient quality to be used in a compliance test. All acceptable technical criteria documents shall be posted on the EPA Web site at the following URL, </w:t>
            </w:r>
            <w:r w:rsidRPr="00C342CD">
              <w:rPr>
                <w:rFonts w:ascii="Arial" w:eastAsia="Times New Roman" w:hAnsi="Arial" w:cs="Arial"/>
                <w:i/>
                <w:iCs/>
                <w:sz w:val="14"/>
                <w:szCs w:val="14"/>
              </w:rPr>
              <w:t>http://www.epa.gov/ttn/emc.</w:t>
            </w:r>
            <w:r w:rsidRPr="00C342CD">
              <w:rPr>
                <w:rFonts w:ascii="Arial" w:eastAsia="Times New Roman" w:hAnsi="Arial" w:cs="Arial"/>
                <w:sz w:val="14"/>
                <w:szCs w:val="14"/>
              </w:rPr>
              <w:t xml:space="preserve"> </w:t>
            </w:r>
          </w:p>
          <w:p w:rsidR="00C342CD" w:rsidRPr="00C342CD" w:rsidRDefault="00C342CD" w:rsidP="00C342CD">
            <w:pPr>
              <w:spacing w:before="200"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[36 FR 24877, Dec. 23, 1971, as amended at 39 FR 9314, Mar. 8, 1974; 42 FR 57126, Nov. 1, 1977; 44 FR 33612, June 11, 1979; 54 FR 6662, Feb. 14, 1989; 54 FR 21344, May 17, 1989; 64 FR 7463, Feb. 12, 1999; 72 FR 27442, May 16, 2007; 75 FR 55646, Sept. 13, 2010]</w:t>
            </w:r>
          </w:p>
          <w:p w:rsidR="00C342CD" w:rsidRPr="00C342CD" w:rsidRDefault="00C342CD" w:rsidP="00C342CD">
            <w:pPr>
              <w:spacing w:before="200" w:after="100" w:line="240" w:lineRule="auto"/>
              <w:outlineLvl w:val="1"/>
              <w:rPr>
                <w:rFonts w:ascii="Arial" w:eastAsia="Times New Roman" w:hAnsi="Arial" w:cs="Arial"/>
                <w:b/>
                <w:bCs/>
                <w:sz w:val="14"/>
                <w:szCs w:val="14"/>
              </w:rPr>
            </w:pPr>
            <w:bookmarkStart w:id="7" w:name="40:7.0.1.1.1.1.151.9"/>
            <w:bookmarkEnd w:id="7"/>
            <w:r w:rsidRPr="00C342CD">
              <w:rPr>
                <w:rFonts w:ascii="Arial" w:eastAsia="Times New Roman" w:hAnsi="Arial" w:cs="Arial"/>
                <w:b/>
                <w:bCs/>
                <w:sz w:val="14"/>
                <w:szCs w:val="14"/>
              </w:rPr>
              <w:t>§ 60.9   Availability of information.</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The availability to the public of information provided to, or otherwise obtained by, the Administrator under this part shall be governed by part 2 of this chapter. (Information submitted voluntarily to the Administrator for the purposes of §§ 60.5 and 60.6 is governed by §§ 2.201 through 2.213 of this chapter and not by § 2.301 of this chapter.)</w:t>
            </w:r>
          </w:p>
          <w:p w:rsidR="00C342CD" w:rsidRPr="00C342CD" w:rsidRDefault="00C342CD" w:rsidP="00C342CD">
            <w:pPr>
              <w:spacing w:before="200" w:after="100" w:line="240" w:lineRule="auto"/>
              <w:outlineLvl w:val="1"/>
              <w:rPr>
                <w:rFonts w:ascii="Arial" w:eastAsia="Times New Roman" w:hAnsi="Arial" w:cs="Arial"/>
                <w:b/>
                <w:bCs/>
                <w:sz w:val="14"/>
                <w:szCs w:val="14"/>
              </w:rPr>
            </w:pPr>
            <w:bookmarkStart w:id="8" w:name="40:7.0.1.1.1.1.151.10"/>
            <w:bookmarkEnd w:id="8"/>
            <w:proofErr w:type="gramStart"/>
            <w:r w:rsidRPr="00C342CD">
              <w:rPr>
                <w:rFonts w:ascii="Arial" w:eastAsia="Times New Roman" w:hAnsi="Arial" w:cs="Arial"/>
                <w:b/>
                <w:bCs/>
                <w:sz w:val="14"/>
                <w:szCs w:val="14"/>
              </w:rPr>
              <w:t>§ 60.10   State authority</w:t>
            </w:r>
            <w:proofErr w:type="gramEnd"/>
            <w:r w:rsidRPr="00C342CD">
              <w:rPr>
                <w:rFonts w:ascii="Arial" w:eastAsia="Times New Roman" w:hAnsi="Arial" w:cs="Arial"/>
                <w:b/>
                <w:bCs/>
                <w:sz w:val="14"/>
                <w:szCs w:val="14"/>
              </w:rPr>
              <w:t>.</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The provisions of this part shall not be construed in any manner to preclude any State or political subdivision thereof from:</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(a) Adopting and enforcing any emission standard or limitation applicable to an affected facility, provided that such emission standard or limitation is not less stringent than the standard applicable to such facility.</w:t>
            </w:r>
          </w:p>
          <w:p w:rsidR="00C342CD" w:rsidRPr="00C342CD" w:rsidRDefault="00C342CD" w:rsidP="00300CD8">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(b) Requiring the owner or operator of an affected facility to obtain permits, licenses, or approvals prior to initiating construction, modification, or operation of such facility.</w:t>
            </w:r>
          </w:p>
          <w:p w:rsidR="00C342CD" w:rsidRPr="00C342CD" w:rsidRDefault="00C342CD" w:rsidP="00C342CD">
            <w:pPr>
              <w:spacing w:before="200" w:after="100" w:line="240" w:lineRule="auto"/>
              <w:outlineLvl w:val="1"/>
              <w:rPr>
                <w:rFonts w:ascii="Arial" w:eastAsia="Times New Roman" w:hAnsi="Arial" w:cs="Arial"/>
                <w:b/>
                <w:bCs/>
                <w:sz w:val="14"/>
                <w:szCs w:val="14"/>
              </w:rPr>
            </w:pPr>
            <w:bookmarkStart w:id="9" w:name="40:7.0.1.1.1.1.151.11"/>
            <w:bookmarkEnd w:id="9"/>
            <w:r w:rsidRPr="00C342CD">
              <w:rPr>
                <w:rFonts w:ascii="Arial" w:eastAsia="Times New Roman" w:hAnsi="Arial" w:cs="Arial"/>
                <w:b/>
                <w:bCs/>
                <w:sz w:val="14"/>
                <w:szCs w:val="14"/>
              </w:rPr>
              <w:t>§ 60.11   Compliance with standards and maintenance requirements.</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(a) Compliance with standards in this part, other than opacity standards, shall be determined in accordance with performance tests established by § 60.8, unless otherwise specified in the applicable standard.</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(b) Compliance with opacity standards in this part shall be determined by conducting observations in accordance with Method 9 in appendix A of this part, any alternative method that is approved by the Administrator, or as provided in paragraph (e)(5) of this section. For purposes of determining initial compliance, the minimum total time of observations shall be 3 hours (30 6-minute averages) for the performance test or other set of observations (meaning those fugitive-type emission sources subject only to an opacity standard).</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(c) The opacity standards set forth in this part shall apply at all times except during periods of startup, shutdown, malfunction, and as otherwise provided in the applicable standard.</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(d) At all times, including periods of startup, shutdown, and malfunction, owners and operators shall, to the extent practicable, maintain and operate any affected facility including associated air pollution control equipment in a manner consistent with good air pollution control practice for minimizing emissions. Determination of whether acceptable operating and maintenance procedures are being used will be based on information available to the Administrator which may include, but is not limited to, monitoring results, opacity observations, review of operating and maintenance procedures, and inspection of the source.</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(e)(1) For the purpose of demonstrating initial compliance, opacity observations shall be conducted concurrently with the initial performance test required in § 60.8 unless one of the following conditions apply. If no performance test under § 60.8 is required, then opacity observations shall be conducted within 60 days after achieving the maximum production rate at which the affected facility will be operated but no later than 180 days after initial startup of the facility. If visibility or other conditions prevent the opacity observations from being conducted concurrently with the initial performance test required under § 60.8, the source owner or operator shall reschedule the opacity observations as soon after the initial performance test as possible, but not later than 30 days thereafter, and shall advise the Administrator of the rescheduled date. In these cases, the 30-day prior notification to the Administrator required in § 60.7(a</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 xml:space="preserve">6) shall be waived. The rescheduled opacity observations shall be conducted (to the extent possible) under the same operating conditions that existed during the initial performance test conducted under § 60.8. The visible emissions observer shall determine whether visibility or other conditions prevent the opacity observations from being made concurrently with the initial performance test in accordance with procedures contained in Method 9 of appendix B of this part. Opacity readings of portions of plumes which contain condensed, </w:t>
            </w:r>
            <w:r w:rsidRPr="00C342CD">
              <w:rPr>
                <w:rFonts w:ascii="Arial" w:eastAsia="Times New Roman" w:hAnsi="Arial" w:cs="Arial"/>
                <w:sz w:val="14"/>
                <w:szCs w:val="14"/>
              </w:rPr>
              <w:lastRenderedPageBreak/>
              <w:t>uncombined water vapor shall not be used for purposes of determing compliance with opacity standards. The owner or operator of an affected facility shall make available, upon request by the Administrator, such records as may be necessary to determine the conditions under which the visual observations were made and shall provide evidence indicating proof of current visible observer emission certification. Except as provided in paragraph (e)(5) of this section, the results of continuous monitoring by transmissometer which indicate that the opacity at the time visual observations were made was not in excess of the standard are probative but not conclusive evidence of the actual opacity of an emission, provided that the source shall meet the burden of proving that the instrument used meets (at the time of the alleged violation) Performance Specification 1 in appendix B of this part, has been properly maintained and (at the time of the alleged violation) that the resulting data have not been altered in any way.</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(2) Except as provided in paragraph (e</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3) of this section, the owner or operator of an affected facility to which an opacity standard in this part applies shall conduct opacity observations in accordance with paragraph (b) of this section, shall record the opacity of emissions, and shall report to the Administrator the opacity results along with the results of the initial performance test required under § 60.8. The inability of an owner or operator to secure a visible emissions observer shall not be considered a reason for not conducting the opacity observations concurrent with the initial performance test.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(3) The owner or operator of an affected facility to which an opacity standard in this part applies may request the Administrator to determine and to record the opacity of emissions from the affected facility during the initial performance test and at such times as may be required. The owner or operator of the affected facility shall report the opacity results. Any request to the Administrator to determine and to record the opacity of emissions from an affected facility shall be included in the notification required in § 60.7(a</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6). If, for some reason, the Administrator cannot determine and record the opacity of emissions from the affected facility during the performance test, then the provisions of paragraph (e)(1) of this section shall apply.</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(4) An owner or operator of an affected facility using a continuous opacity monitor (transmissometer) shall record the monitoring data produced during the initial performance test required by § 60.8 and shall furnish the Administrator a written report of the monitoring results along with Method 9 and § 60.8 performance test results.</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(5) An owner or operator of an affected facility subject to an opacity standard may submit, for compliance purposes, continuous opacity monitoring system (COMS) data results produced during any performance test required under § 60.8 in lieu of Method 9 observation data. If an owner or operator elects to submit COMS data for compliance with the opacity standard, he shall notify the Administrator of that decision, in writing, at least 30 days before any performance test required under § 60.8 is conducted. Once the owner or operator of an affected facility has notified the Administrator to that effect, the COMS data results will be used to determine opacity compliance during subsequent tests required under § 60.8 until the owner or operator notifies the Administrator, in writing, to the contrary. For the purpose of determining compliance with the opacity standard during a performance test required under § 60.8 using COMS data, the minimum total time of COMS data collection shall be averages of all 6-minute continuous periods within the duration of the mass emission performance test. Results of the COMS opacity determinations shall be submitted along with the results of the performance test required under § 60.8. The owner or operator of an affected facility using a COMS for compliance purposes is responsible for demonstrating that the COMS meets the requirements specified in § 60.13(c) of this part, that the COMS has been properly maintained and operated, and that the resulting data have not been altered in any way. If COMS data results are submitted for compliance with the opacity standard for a period of time during which Method 9 data indicates noncompliance, the Method 9 data will be used to determine compliance with the opacity standard.</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(6) Upon receipt from an owner or operator of the written reports of the results of the performance tests required by § 60.8, the opacity observation results and observer certification required by § 60.11(e</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1), and the COMS results, if applicable, the Administrator will make a finding concerning compliance with opacity and other applicable standards. If COMS data results are used to comply with an opacity standard, only those results are required to be submitted along with the performance test results required by § 60.8. If the Administrator finds that an affected facility is in compliance with all applicable standards for which performance tests are conducted in accordance with § 60.8 of this part but during the time such performance tests are being conducted fails to meet any applicable opacity standard, he shall notify the owner or operator and advise him that he may petition the Administrator within 10 days of receipt of notification to make appropriate adjustment to the opacity standard for the affected facility.</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(7) The Administrator will grant such a petition upon a demonstration by the owner or operator that the affected facility and associated air pollution control equipment was operated and maintained in a manner to minimize the opacity of emissions during the performance tests; that the performance tests were performed under the conditions established by the Administrator; and that the affected facility and associated air pollution control equipment were incapable of being adjusted or operated to meet the applicable opacity standard.</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(8) The Administrator will establish an opacity standard for the affected facility meeting the above requirements at a level at which the source will be able, as indicated by the performance and opacity tests, to meet the opacity standard at all times during which the source is meeting the mass or concentration emission standard. The Administrator will promulgate the new opacity standard in the </w:t>
            </w:r>
            <w:r w:rsidRPr="00C342CD">
              <w:rPr>
                <w:rFonts w:ascii="Arial" w:eastAsia="Times New Roman" w:hAnsi="Arial" w:cs="Arial"/>
                <w:smallCaps/>
                <w:sz w:val="14"/>
                <w:szCs w:val="14"/>
              </w:rPr>
              <w:t>Federal Register.</w:t>
            </w:r>
            <w:r w:rsidRPr="00C342CD">
              <w:rPr>
                <w:rFonts w:ascii="Arial" w:eastAsia="Times New Roman" w:hAnsi="Arial" w:cs="Arial"/>
                <w:sz w:val="14"/>
                <w:szCs w:val="14"/>
              </w:rPr>
              <w:t xml:space="preserve"> </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(f) Special provisions set forth under an applicable subpart shall supersede any conflicting provisions in paragraphs (a) through (e) of this section.</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(g) For the purpose of submitting compliance certifications or establishing whether or not a person has violated or is in violation of any standard in this part, nothing in this part shall preclude the use, including the exclusive use, of any credible evidence or information, relevant to whether a source would have been in compliance with applicable requirements if the appropriate performance or compliance test or procedure had been performed.</w:t>
            </w:r>
          </w:p>
          <w:p w:rsidR="00C342CD" w:rsidRPr="00C342CD" w:rsidRDefault="00C342CD" w:rsidP="00C342CD">
            <w:pPr>
              <w:spacing w:before="200"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[38 FR 28565, Oct. 15, 1973, as amended at 39 FR 39873, Nov. 12, 1974; 43 FR 8800, Mar. 3, 1978; 45 FR 23379, Apr. 4, 1980; 48 FR 48335, Oct. 18, 1983; 50 FR 53113, Dec. 27, 1985; 51 FR 1790, Jan. 15, 1986; 52 FR 9781, Mar. 26, 1987; 62 FR 8328, Feb. 24, 1997; 65 FR 61749, Oct. 17, 2000]</w:t>
            </w:r>
          </w:p>
          <w:p w:rsidR="00C342CD" w:rsidRPr="00C342CD" w:rsidRDefault="00C342CD" w:rsidP="00C342CD">
            <w:pPr>
              <w:spacing w:before="200" w:after="100" w:line="240" w:lineRule="auto"/>
              <w:outlineLvl w:val="1"/>
              <w:rPr>
                <w:rFonts w:ascii="Arial" w:eastAsia="Times New Roman" w:hAnsi="Arial" w:cs="Arial"/>
                <w:b/>
                <w:bCs/>
                <w:sz w:val="14"/>
                <w:szCs w:val="14"/>
              </w:rPr>
            </w:pPr>
            <w:bookmarkStart w:id="10" w:name="40:7.0.1.1.1.1.151.12"/>
            <w:bookmarkEnd w:id="10"/>
            <w:proofErr w:type="gramStart"/>
            <w:r w:rsidRPr="00C342CD">
              <w:rPr>
                <w:rFonts w:ascii="Arial" w:eastAsia="Times New Roman" w:hAnsi="Arial" w:cs="Arial"/>
                <w:b/>
                <w:bCs/>
                <w:sz w:val="14"/>
                <w:szCs w:val="14"/>
              </w:rPr>
              <w:t>§ 60.12   Circumvention.</w:t>
            </w:r>
            <w:proofErr w:type="gramEnd"/>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lastRenderedPageBreak/>
              <w:t>No owner or operator subject to the provisions of this part shall build, erect, install, or use any article, machine, equipment or process, the use of which conceals an emission which would otherwise constitute a violation of an applicable standard. Such concealment includes, but is not limited to, the use of gaseous diluents to achieve compliance with an opacity standard or with a standard which is based on the concentration of a pollutant in the gases discharged to the atmosphere.</w:t>
            </w:r>
          </w:p>
          <w:p w:rsidR="00C342CD" w:rsidRPr="00C342CD" w:rsidRDefault="00C342CD" w:rsidP="00C342CD">
            <w:pPr>
              <w:spacing w:before="200"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[39 FR 9314, Mar. 8, 1974]</w:t>
            </w:r>
          </w:p>
          <w:p w:rsidR="00C342CD" w:rsidRPr="00C342CD" w:rsidRDefault="00C342CD" w:rsidP="00C342CD">
            <w:pPr>
              <w:spacing w:before="200" w:after="100" w:line="240" w:lineRule="auto"/>
              <w:outlineLvl w:val="1"/>
              <w:rPr>
                <w:rFonts w:ascii="Arial" w:eastAsia="Times New Roman" w:hAnsi="Arial" w:cs="Arial"/>
                <w:b/>
                <w:bCs/>
                <w:sz w:val="14"/>
                <w:szCs w:val="14"/>
              </w:rPr>
            </w:pPr>
            <w:bookmarkStart w:id="11" w:name="40:7.0.1.1.1.1.151.13"/>
            <w:bookmarkEnd w:id="11"/>
            <w:r w:rsidRPr="00C342CD">
              <w:rPr>
                <w:rFonts w:ascii="Arial" w:eastAsia="Times New Roman" w:hAnsi="Arial" w:cs="Arial"/>
                <w:b/>
                <w:bCs/>
                <w:sz w:val="14"/>
                <w:szCs w:val="14"/>
              </w:rPr>
              <w:t>§ 60.13   Monitoring requirements.</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(a) For the purposes of this section, all continuous monitoring systems required under applicable subparts shall be subject to the provisions of this section upon promulgation of performance specifications for continuous monitoring systems under appendix B to this part and, if the continuous monitoring system is used to demonstrate compliance with emission limits on a continuous basis, appendix F to this part, unless otherwise specified in an applicable subpart or by the Administrator. Appendix F is applicable December 4, 1987.</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(b) All continuous monitoring systems and monitoring devices shall be installed and operational prior to conducting performance tests under § 60.8. Verification of operational status shall, as a minimum, include completion of the manufacturer's written requirements or recommendations for installation, operation, and calibration of the device.</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(c) If the owner or operator of an affected facility elects to submit continous opacity monitoring system (COMS) data for compliance with the opacity standard as provided under § 60.11(e)(5), he shall conduct a performance evaluation of the COMS as specified in Performance Specification 1, appendix B, of this part before the performance test required under § 60.8 is conducted. Otherwise, the owner or operator of an affected facility shall conduct a performance evaluation of the COMS or continuous emission monitoring system (CEMS) during any performance test required under § 60.8 or within 30 days thereafter in accordance with the applicable performance specification in appendix B of this part, The owner or operator of an affected facility shall conduct COMS or CEMS performance evaluations at such other times as may be required by the Administrator under section 114 of the Act.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(1) The owner or operator of an affected facility using a COMS to determine opacity compliance during any performance test required under § 60.8 and as described in § 60.11(e</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5) shall furnish the Administrator two or, upon request, more copies of a written report of the results of the COMS performance evaluation described in paragraph (c) of this section at least 10 days before the performance test required under § 60.8 is conducted.</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(2) Except as provided in paragraph (c)(1) of this section, the owner or operator of an affected facility shall furnish the Administrator within 60 days of completion two or, upon request, more copies of a written report of the results of the performance evaluation.</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(d)(1) Owners and operators of a CEMS installed in accordance with the provisions of this </w:t>
            </w:r>
            <w:proofErr w:type="gramStart"/>
            <w:r w:rsidRPr="00C342CD">
              <w:rPr>
                <w:rFonts w:ascii="Arial" w:eastAsia="Times New Roman" w:hAnsi="Arial" w:cs="Arial"/>
                <w:sz w:val="14"/>
                <w:szCs w:val="14"/>
              </w:rPr>
              <w:t>part,</w:t>
            </w:r>
            <w:proofErr w:type="gramEnd"/>
            <w:r w:rsidRPr="00C342CD">
              <w:rPr>
                <w:rFonts w:ascii="Arial" w:eastAsia="Times New Roman" w:hAnsi="Arial" w:cs="Arial"/>
                <w:sz w:val="14"/>
                <w:szCs w:val="14"/>
              </w:rPr>
              <w:t xml:space="preserve"> must check the zero (or low level value between 0 and 20 percent of span value) and span (50 to 100 percent of span value) calibration drifts at least once daily in accordance with a written procedure. The zero and span must, as a minimum, be adjusted whenever either the 24-hour zero drift or the 24-hour span drift exceeds two times the limit of the applicable performance specification in appendix B of this part. The system must allow the amount of the excess zero and span drift to be recorded and quantified whenever specified. Owners and operators of a COMS installed in accordance with the provisions of this part, must automatically, intrinsic to the opacity monitor, check the zero and upscale (span) calibration drifts at least once daily. </w:t>
            </w:r>
            <w:proofErr w:type="gramStart"/>
            <w:r w:rsidRPr="00C342CD">
              <w:rPr>
                <w:rFonts w:ascii="Arial" w:eastAsia="Times New Roman" w:hAnsi="Arial" w:cs="Arial"/>
                <w:sz w:val="14"/>
                <w:szCs w:val="14"/>
              </w:rPr>
              <w:t>For a</w:t>
            </w:r>
            <w:proofErr w:type="gramEnd"/>
            <w:r w:rsidRPr="00C342CD">
              <w:rPr>
                <w:rFonts w:ascii="Arial" w:eastAsia="Times New Roman" w:hAnsi="Arial" w:cs="Arial"/>
                <w:sz w:val="14"/>
                <w:szCs w:val="14"/>
              </w:rPr>
              <w:t xml:space="preserve"> particular COMS, the acceptable range of zero and upscale calibration materials is as defined in the applicable version of PS-1 in appendix B of this part. </w:t>
            </w:r>
            <w:proofErr w:type="gramStart"/>
            <w:r w:rsidRPr="00C342CD">
              <w:rPr>
                <w:rFonts w:ascii="Arial" w:eastAsia="Times New Roman" w:hAnsi="Arial" w:cs="Arial"/>
                <w:sz w:val="14"/>
                <w:szCs w:val="14"/>
              </w:rPr>
              <w:t>For a</w:t>
            </w:r>
            <w:proofErr w:type="gramEnd"/>
            <w:r w:rsidRPr="00C342CD">
              <w:rPr>
                <w:rFonts w:ascii="Arial" w:eastAsia="Times New Roman" w:hAnsi="Arial" w:cs="Arial"/>
                <w:sz w:val="14"/>
                <w:szCs w:val="14"/>
              </w:rPr>
              <w:t xml:space="preserve"> COMS, the optical surfaces, exposed to the effluent gases, must be cleaned before performing the zero and upscale drift adjustments, except for systems using automatic zero adjustments. The optical surfaces must be cleaned when the cumulative automatic zero compensation exceeds 4 percent opacity.</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(2) Unless otherwise approved by the Administrator, the following procedures must be followed for a COMS. Minimum procedures must include an automated method for producing a simulated zero opacity condition and an upscale opacity condition using a certified neutral density filter or other related technique to produce a known obstruction of the light beam. Such procedures must provide a system check of all active analyzer internal optics with power or curvature, all active electronic circuitry including the light source and photodetector assembly, and electronic or electro-mechanical systems and hardware and or software used during normal measurement operation.</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(e) Except for system breakdowns, repairs, calibration checks, and zero and span adjustments required under paragraph (d) of this section, all continuous monitoring systems shall be in continuous operation and shall meet minimum frequency of operation requirements as follows:</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(1) All continuous monitoring systems referenced by paragraph (c) of this section for measuring opacity of emissions shall complete a minimum of one cycle of sampling and analyzing for each successive 10-second period and one cycle of data recording for each successive 6-minute period.</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(2) All continuous monitoring systems referenced by paragraph (c) of this section for measuring emissions, except opacity, shall complete a minimum of one cycle of operation (sampling, analyzing, and data recording) for each successive 15-minute period.</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(f) All continuous monitoring systems or monitoring devices shall be installed such that representative measurements of emissions or process parameters from the affected facility are obtained. Additional procedures for location of continuous monitoring systems contained in the applicable Performance Specifications of appendix B of this part shall be used.</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lastRenderedPageBreak/>
              <w:t>(g) When the effluents from a single affected facility or two or more affected facilities subject to the same emission standards are combined before being released to the atmosphere, the owner or operator may install applicable continuous monitoring systems on each effluent or on the combined effluent. When the affected facilities are not subject to the same emission standards, separate continuous monitoring systems shall be installed on each effluent. When the effluent from one affected facility is released to the atmosphere through more than one point, the owner or operator shall install an applicable continuous monitoring system on each separate effluent unless the installation of fewer systems is approved by the Administrator. When more than one continuous monitoring system is used to measure the emissions from one affected facility (e.g., multiple breechings, multiple outlets), the owner or operator shall report the results as required from each continuous monitoring system.</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(h)(1) Owners or operators of all continuous monitoring systems for measurement of opacity shall reduce all data to 6-minute averages and for continuous monitoring systems other than opacity to 1-hour averages for time periods as defined in § 60.2. Six-minute opacity averages shall be calculated from 36 or more data points equally spaced over each 6-minute period.</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(2) For continuous monitoring systems other than opacity, 1-hour averages shall be computed as follows, except that the provisions pertaining to the validation of partial operating hours are only applicable for affected facilities that are required by the applicable subpart to include partial hours in the emission calculations:</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(i) Except as provided under paragraph (h)(2)(iii) of this section, for a full operating hour (any clock hour with 60 minutes of unit operation), at least four valid data points are required to calculate the hourly average, </w:t>
            </w:r>
            <w:r w:rsidRPr="00C342CD">
              <w:rPr>
                <w:rFonts w:ascii="Arial" w:eastAsia="Times New Roman" w:hAnsi="Arial" w:cs="Arial"/>
                <w:i/>
                <w:iCs/>
                <w:sz w:val="14"/>
                <w:szCs w:val="14"/>
              </w:rPr>
              <w:t>i.e.</w:t>
            </w:r>
            <w:r w:rsidRPr="00C342CD">
              <w:rPr>
                <w:rFonts w:ascii="Arial" w:eastAsia="Times New Roman" w:hAnsi="Arial" w:cs="Arial"/>
                <w:sz w:val="14"/>
                <w:szCs w:val="14"/>
              </w:rPr>
              <w:t xml:space="preserve"> , one data point in each of the 15-minute quadrants of the hour.</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(ii) Except as provided under paragraph (h)(2)(iii) of this section, for a partial operating hour (any clock hour with less than 60 minutes of unit operation), at least one valid data point in each 15-minute quadrant of the hour in which the unit operates is required to calculate the hourly average.</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(iii) For any operating hour in which required maintenance or quality-assurance activities are performed:</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(A) If the unit operates in two or more quadrants of the hour, a minimum of two valid data points, separated by at least 15 minutes, is required to calculate the hourly average; or</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(B) If the unit operates in only one quadrant of the hour, at least one valid data point is required to calculate the hourly average.</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(iv) If a daily calibration error check is failed during any operating hour, all data for that hour shall be invalidated, unless a subsequent calibration error test is passed in the same hour and the requirements of paragraph (h)(2)(iii) of this section are met, based solely on valid data recorded after the successful calibration.</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(v) For each full or partial operating hour, all valid data points shall be used to calculate the hourly average.</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(vi) Except as provided under paragraph (h)(2)(vii) of this section, data recorded during periods of continuous monitoring system breakdown, repair, calibration checks, and zero and span adjustments shall not be included in the data averages computed under this paragraph.</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(vii) Owners and operators complying with the requirements of § 60.7(f</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1) or (2) must include any data recorded during periods of monitor breakdown or malfunction in the data averages.</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(viii) When specified in an applicable subpart, hourly averages for certain partial operating hours shall not be computed or included in the emission averages ( </w:t>
            </w:r>
            <w:r w:rsidRPr="00C342CD">
              <w:rPr>
                <w:rFonts w:ascii="Arial" w:eastAsia="Times New Roman" w:hAnsi="Arial" w:cs="Arial"/>
                <w:i/>
                <w:iCs/>
                <w:sz w:val="14"/>
                <w:szCs w:val="14"/>
              </w:rPr>
              <w:t>e.g.</w:t>
            </w:r>
            <w:r w:rsidRPr="00C342CD">
              <w:rPr>
                <w:rFonts w:ascii="Arial" w:eastAsia="Times New Roman" w:hAnsi="Arial" w:cs="Arial"/>
                <w:sz w:val="14"/>
                <w:szCs w:val="14"/>
              </w:rPr>
              <w:t xml:space="preserve"> hours with &lt; 30 minutes of unit operation under § 60.47b(d)).</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(ix) Either arithmetic or integrated averaging of all data may be used to calculate the hourly averages. The data may be recorded in reduced or nonreduced form </w:t>
            </w:r>
            <w:proofErr w:type="gramStart"/>
            <w:r w:rsidRPr="00C342CD">
              <w:rPr>
                <w:rFonts w:ascii="Arial" w:eastAsia="Times New Roman" w:hAnsi="Arial" w:cs="Arial"/>
                <w:sz w:val="14"/>
                <w:szCs w:val="14"/>
              </w:rPr>
              <w:t xml:space="preserve">( </w:t>
            </w:r>
            <w:r w:rsidRPr="00C342CD">
              <w:rPr>
                <w:rFonts w:ascii="Arial" w:eastAsia="Times New Roman" w:hAnsi="Arial" w:cs="Arial"/>
                <w:i/>
                <w:iCs/>
                <w:sz w:val="14"/>
                <w:szCs w:val="14"/>
              </w:rPr>
              <w:t>e.g</w:t>
            </w:r>
            <w:proofErr w:type="gramEnd"/>
            <w:r w:rsidRPr="00C342CD">
              <w:rPr>
                <w:rFonts w:ascii="Arial" w:eastAsia="Times New Roman" w:hAnsi="Arial" w:cs="Arial"/>
                <w:i/>
                <w:iCs/>
                <w:sz w:val="14"/>
                <w:szCs w:val="14"/>
              </w:rPr>
              <w:t>.</w:t>
            </w:r>
            <w:r w:rsidRPr="00C342CD">
              <w:rPr>
                <w:rFonts w:ascii="Arial" w:eastAsia="Times New Roman" w:hAnsi="Arial" w:cs="Arial"/>
                <w:sz w:val="14"/>
                <w:szCs w:val="14"/>
              </w:rPr>
              <w:t xml:space="preserve"> , ppm pollutant and percent O</w:t>
            </w:r>
            <w:r w:rsidRPr="00C342CD">
              <w:rPr>
                <w:rFonts w:ascii="Arial" w:eastAsia="Times New Roman" w:hAnsi="Arial" w:cs="Arial"/>
                <w:sz w:val="10"/>
                <w:szCs w:val="10"/>
                <w:vertAlign w:val="subscript"/>
              </w:rPr>
              <w:t>2</w:t>
            </w:r>
            <w:r w:rsidRPr="00C342CD">
              <w:rPr>
                <w:rFonts w:ascii="Arial" w:eastAsia="Times New Roman" w:hAnsi="Arial" w:cs="Arial"/>
                <w:sz w:val="14"/>
                <w:szCs w:val="14"/>
              </w:rPr>
              <w:t xml:space="preserve"> or ng/J of pollutant).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(3) All excess emissions shall be converted into units of the standard using the applicable conversion procedures specified in the applicable subpart. After conversion into units of the standard, the data may be rounded to the same number of significant digits used in the applicable subpart to specify the emission limit.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(i) After receipt and consideration of written application, the Administrator may approve alternatives to any monitoring procedures or requirements of this part including, but not limited to the following:</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(1) Alternative monitoring requirements when installation of a continuous monitoring system or monitoring device specified by this part would not provide accurate measurements due to liquid water or other interferences caused by substances in the effluent gases.</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(2) Alternative monitoring requirements when the affected facility is infrequently operated.</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(3) Alternative monitoring requirements to accommodate continuous monitoring systems that require additional measurements to correct for </w:t>
            </w:r>
            <w:r w:rsidRPr="00C342CD">
              <w:rPr>
                <w:rFonts w:ascii="Arial" w:eastAsia="Times New Roman" w:hAnsi="Arial" w:cs="Arial"/>
                <w:sz w:val="14"/>
                <w:szCs w:val="14"/>
              </w:rPr>
              <w:lastRenderedPageBreak/>
              <w:t>stack moisture conditions.</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(4) Alternative locations for installing continuous monitoring systems or monitoring devices when the owner or operator can demonstrate that installation at alternate locations will enable accurate and representative measurements.</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(5) Alternative methods of converting pollutant concentration measurements to units of the standards.</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(6) Alternative procedures for performing daily checks of zero and span drift that do not involve use of span gases or test cells.</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(7) Alternatives to the A.S.T.M. test methods or sampling procedures specified by any subpart.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(8) Alternative continuous monitoring systems that do not meet the design or performance requirements in Performance Specification 1, appendix B, but adequately demonstrate a definite and consistent relationship between its measurements and the measurements of opacity by a system complying with the requirements in Performance Specification 1. The Administrator may require that such demonstration be performed for each affected facility.</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(9) Alternative monitoring requirements when the effluent from a single affected facility or the combined effluent from two or more affected facilities is released to the atmosphere through more than one point.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(j) An alternative to the relative accuracy (RA) test specified in Performance Specification 2 of appendix B may be requested as follows:</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(1) An alternative to the reference method tests for determining RA is available for sources with emission rates demonstrated to be less than 50 percent of the applicable standard. A source owner or operator may petition the Administrator to waive the RA test in Section 8.4 of Performance Specification 2 and substitute the procedures in Section 16.0 if the results of a performance test conducted according to the requirements in § 60.8 of this subpart or other tests performed following the criteria in § 60.8 demonstrate that the emission rate of the pollutant of interest in the units of the applicable standard is less than 50 percent of the applicable standard. For sources subject to standards expressed as control efficiency levels, a source owner or operator may petition the Administrator to waive the RA test and substitute the procedures in Section 16.0 of Performance Specification 2 if the control device exhaust emission rate is less than 50 percent of the level needed to meet the control efficiency requirement. The alternative procedures do not apply if the continuous emission monitoring system is used to determine compliance continuously with the applicable standard. The petition to waive the RA test shall include a detailed description of the procedures to be applied. Included shall be location and procedure for conducting the alternative, the concentration or response levels of the alternative RA materials, and the other equipment checks included in the alternative procedure. The Administrator will review the petition for completeness and applicability. The determination to grant a waiver will depend on the intended use of the CEMS data (e.g., data collection purposes other than NSPS) and may require specifications more stringent than in Performance Specification 2 (e.g., the applicable emission limit is more stringent than NSPS).</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(2) The waiver of a CEMS RA test will be reviewed and may be rescinded at such time, following successful completion of the alternative RA procedure, that the CEMS data indicate that the source emissions are approaching the level. The criterion for reviewing the waiver is the collection of CEMS data showing that emissions have exceeded 70 percent of the applicable standard for seven, consecutive, averaging periods as specified by the applicable regulation(s). For sources subject to standards expressed as control efficiency levels, the criterion for reviewing the waiver is the collection of CEMS data showing that exhaust emissions have exceeded 70 percent of the level needed to meet the control efficiency requirement for seven, consecutive, averaging periods as specified by the applicable regulation(s) [e.g., § 60.45(g) (2) and (3), § 60.73(e), and § 60.84(e)]. It is the responsibility of the source operator to maintain records and determine the level of emissions relative to the criterion on the waiver of RA testing. If this criterion is exceeded, the owner or operator must notify the Administrator within 10 days of such occurrence and include a description of the nature and cause of the increasing emissions. The Administrator will review the notification and may rescind the waiver and require the owner or operator to conduct a RA test of the CEMS as specified in Section 8.4 of Performance Specification 2.</w:t>
            </w:r>
          </w:p>
          <w:p w:rsidR="00C342CD" w:rsidRPr="00C342CD" w:rsidRDefault="00C342CD" w:rsidP="00C342CD">
            <w:pPr>
              <w:spacing w:before="200"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[40 FR 46255, Oct. 6, 1975; 40 FR 59205, Dec. 22, 1975, as amended at 41 FR 35185, Aug. 20, 1976; 48 FR 13326, Mar. 30, 1983; 48 FR 23610, May 25, 1983; 48 FR 32986, July 20, 1983; 52 FR 9782, Mar. 26, 1987; 52 FR 17555, May 11, 1987; 52 FR 21007, June 4, 1987; 64 FR 7463, Feb. 12, 1999; 65 FR 48920, Aug. 10, 2000; 65 FR 61749, Oct. 17, 2000; 66 FR 44980, Aug. 27, 2001; 71 FR 31102, June 1, 2006; 72 FR 32714, June 13, 2007]</w:t>
            </w:r>
          </w:p>
          <w:p w:rsidR="00C342CD" w:rsidRPr="00C342CD" w:rsidRDefault="00C342CD" w:rsidP="00C342CD">
            <w:pPr>
              <w:spacing w:before="200" w:after="100" w:afterAutospacing="1" w:line="240" w:lineRule="auto"/>
              <w:ind w:firstLine="480"/>
              <w:rPr>
                <w:rFonts w:ascii="Arial" w:eastAsia="Times New Roman" w:hAnsi="Arial" w:cs="Arial"/>
                <w:sz w:val="13"/>
                <w:szCs w:val="13"/>
              </w:rPr>
            </w:pPr>
            <w:r w:rsidRPr="00C342CD">
              <w:rPr>
                <w:rFonts w:ascii="Arial" w:eastAsia="Times New Roman" w:hAnsi="Arial" w:cs="Arial"/>
                <w:smallCaps/>
                <w:sz w:val="13"/>
                <w:szCs w:val="13"/>
              </w:rPr>
              <w:t>Editorial Note:</w:t>
            </w:r>
            <w:r w:rsidRPr="00C342CD">
              <w:rPr>
                <w:rFonts w:ascii="Arial" w:eastAsia="Times New Roman" w:hAnsi="Arial" w:cs="Arial"/>
                <w:sz w:val="13"/>
                <w:szCs w:val="13"/>
              </w:rPr>
              <w:t xml:space="preserve"> At 65 FR 61749, Oct. 17, 2000, § 60.13 was amended by revising the words “ng/J of pollutant” to read “ng of pollutant per J of heat input” in the sixth sentence of paragraph (h). However, the amendment could not be incorporated because the words “ng/J of pollutant” </w:t>
            </w:r>
            <w:proofErr w:type="gramStart"/>
            <w:r w:rsidRPr="00C342CD">
              <w:rPr>
                <w:rFonts w:ascii="Arial" w:eastAsia="Times New Roman" w:hAnsi="Arial" w:cs="Arial"/>
                <w:sz w:val="13"/>
                <w:szCs w:val="13"/>
              </w:rPr>
              <w:t>do</w:t>
            </w:r>
            <w:proofErr w:type="gramEnd"/>
            <w:r w:rsidRPr="00C342CD">
              <w:rPr>
                <w:rFonts w:ascii="Arial" w:eastAsia="Times New Roman" w:hAnsi="Arial" w:cs="Arial"/>
                <w:sz w:val="13"/>
                <w:szCs w:val="13"/>
              </w:rPr>
              <w:t xml:space="preserve"> not exist in the sixth sentence of paragraph (h). </w:t>
            </w:r>
          </w:p>
          <w:p w:rsidR="00C342CD" w:rsidRPr="00C342CD" w:rsidRDefault="00C342CD" w:rsidP="00C342CD">
            <w:pPr>
              <w:spacing w:before="200" w:after="100" w:line="240" w:lineRule="auto"/>
              <w:outlineLvl w:val="1"/>
              <w:rPr>
                <w:rFonts w:ascii="Arial" w:eastAsia="Times New Roman" w:hAnsi="Arial" w:cs="Arial"/>
                <w:b/>
                <w:bCs/>
                <w:sz w:val="14"/>
                <w:szCs w:val="14"/>
              </w:rPr>
            </w:pPr>
            <w:bookmarkStart w:id="12" w:name="40:7.0.1.1.1.1.151.14"/>
            <w:bookmarkEnd w:id="12"/>
            <w:proofErr w:type="gramStart"/>
            <w:r w:rsidRPr="00C342CD">
              <w:rPr>
                <w:rFonts w:ascii="Arial" w:eastAsia="Times New Roman" w:hAnsi="Arial" w:cs="Arial"/>
                <w:b/>
                <w:bCs/>
                <w:sz w:val="14"/>
                <w:szCs w:val="14"/>
              </w:rPr>
              <w:t>§ 60.14   Modification</w:t>
            </w:r>
            <w:proofErr w:type="gramEnd"/>
            <w:r w:rsidRPr="00C342CD">
              <w:rPr>
                <w:rFonts w:ascii="Arial" w:eastAsia="Times New Roman" w:hAnsi="Arial" w:cs="Arial"/>
                <w:b/>
                <w:bCs/>
                <w:sz w:val="14"/>
                <w:szCs w:val="14"/>
              </w:rPr>
              <w: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(a) Except as provided under paragraphs (e) and (f) of this section, any physical or operational change to an existing facility which results in an increase in the emission rate to the atmosphere of any pollutant to which a standard applies shall be considered a modification within the meaning of section 111 of the Act. Upon modification, an existing facility shall become an affected facility for each pollutant to which a standard applies and for which there is an increase in the emission rate to the atmosphere.</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(b) Emission rate shall be expressed as kg/hr of any pollutant discharged into the atmosphere for which a standard is applicable. The Administrator shall use the following to determine emission rate:</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lastRenderedPageBreak/>
              <w:t xml:space="preserve">(1) Emission factors as specified in the latest issue of “Compilation of Air Pollutant Emission Factors,” EPA Publication No. </w:t>
            </w:r>
            <w:proofErr w:type="gramStart"/>
            <w:r w:rsidRPr="00C342CD">
              <w:rPr>
                <w:rFonts w:ascii="Arial" w:eastAsia="Times New Roman" w:hAnsi="Arial" w:cs="Arial"/>
                <w:sz w:val="14"/>
                <w:szCs w:val="14"/>
              </w:rPr>
              <w:t>AP-42,</w:t>
            </w:r>
            <w:proofErr w:type="gramEnd"/>
            <w:r w:rsidRPr="00C342CD">
              <w:rPr>
                <w:rFonts w:ascii="Arial" w:eastAsia="Times New Roman" w:hAnsi="Arial" w:cs="Arial"/>
                <w:sz w:val="14"/>
                <w:szCs w:val="14"/>
              </w:rPr>
              <w:t xml:space="preserve"> or other emission factors determined by the Administrator to be superior to AP-42 emission factors, in cases where utilization of emission factors demonstrates that the emission level resulting from the physical or operational change will either clearly increase or clearly not increase.</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(2) Material balances, continuous monitor data, or manual emission tests in cases where utilization of emission factors as referenced in paragraph (b)(1) of this section does not demonstrate to the Administrator's satisfaction whether the emission level resulting from the physical or operational change will either clearly increase or clearly not increase, or where an owner or operator demonstrates to the Administrator's satisfaction that there are reasonable grounds to dispute the result obtained by the Administrator utilizing emission factors as referenced in paragraph (b)(1) of this section. When the emission rate is based on results from manual emission tests or continuous monitoring systems, the procedures specified in appendix C of this part shall be used to determine whether an increase in emission rate has occurred. Tests shall be conducted under such conditions as the Administrator shall specify to the owner or operator based on representative performance of the facility. At least three valid test runs must be conducted before and at least three after the physical or operational change. All operating parameters which may affect emissions must be held constant to the maximum feasible degree for all test runs.</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(c) The addition of an affected facility to a stationary source as an expansion to that source or as a replacement for an existing facility shall not by itself bring within the applicability of this part any other facility within that source.</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(d) [Reserved]</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(e) The following shall not, by themselves, be considered modifications under this part: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(1) Maintenance, repair, and replacement which the Administrator determines to be routine for a source category, subject to the provisions of paragraph (c) of this section and § 60.15.</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(2) An increase in production rate of an existing facility, if that increase can be accomplished without a capital expenditure on that facility.</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(3) An increase in the hours of operation.</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(4) Use of an alternative fuel or raw material if, prior to the date any standard under this part becomes applicable to that source type, as provided by § 60.1, the existing facility was designed to accommodate that alternative use. A facility shall be considered to be designed to accommodate an alternative fuel or raw material if that use could be accomplished under the facility's construction specifications as amended prior to the change. Conversion to coal required for energy considerations, as specified in section 111(a</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8) of the Act, shall not be considered a modification.</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(5) The addition or use of any system or device whose primary function is the reduction of air pollutants, except when an emission control system is removed or is replaced by a system which the Administrator determines to be less environmentally beneficial.</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(6) The relocation or change in ownership of an existing facility.</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(f) Special provisions set forth under an applicable subpart of this part shall supersede any conflicting provisions of this section.</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(g) Within 180 days of the completion of any physical or operational change subject to the control measures specified in paragraph (a) of this section, compliance with all applicable standards must be achieved.</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(h) No physical change, or change in the method of operation, at an existing electric utility steam generating unit shall be treated as a modification for the purposes of this section provided that such change does not increase the maximum hourly emissions of any pollutant regulated under this section above the maximum hourly emissions achievable at that unit during the 5 years prior to the change.</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(i) Repowering projects that are awarded funding from the Department of Energy as permanent clean coal technology demonstration projects (or similar projects funded by EPA) are exempt from the requirements of this section provided that such change does not increase the maximum hourly emissions of any pollutant regulated under this section above the maximum hourly emissions achievable at that unit during the five years prior to the change.</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(j)(1) Repowering projects that qualify for an extension under section 409(b) of the Clean Air Act are exempt from the requirements of this section, provided that such change does not increase the actual hourly emissions of any pollutant regulated under this section above the actual hourly emissions achievable at that unit during the 5 years prior to the change.</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(2) This exemption shall not apply to any new unit that: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(i) Is designated as a replacement for an existing unit;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lastRenderedPageBreak/>
              <w:t>(ii) Qualifies under section 409(b) of the Clean Air Act for an extension of an emission limitation compliance date under section 405 of the Clean Air Act; and</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w:t>
            </w:r>
            <w:proofErr w:type="gramStart"/>
            <w:r w:rsidRPr="00C342CD">
              <w:rPr>
                <w:rFonts w:ascii="Arial" w:eastAsia="Times New Roman" w:hAnsi="Arial" w:cs="Arial"/>
                <w:sz w:val="14"/>
                <w:szCs w:val="14"/>
              </w:rPr>
              <w:t>iii</w:t>
            </w:r>
            <w:proofErr w:type="gramEnd"/>
            <w:r w:rsidRPr="00C342CD">
              <w:rPr>
                <w:rFonts w:ascii="Arial" w:eastAsia="Times New Roman" w:hAnsi="Arial" w:cs="Arial"/>
                <w:sz w:val="14"/>
                <w:szCs w:val="14"/>
              </w:rPr>
              <w:t>) Is located at a different site than the existing unit.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(k) The installation, operation, cessation, or removal of a temporary clean coal technology demonstration project is exempt from the requirements of this section. A </w:t>
            </w:r>
            <w:r w:rsidRPr="00C342CD">
              <w:rPr>
                <w:rFonts w:ascii="Arial" w:eastAsia="Times New Roman" w:hAnsi="Arial" w:cs="Arial"/>
                <w:i/>
                <w:iCs/>
                <w:sz w:val="14"/>
                <w:szCs w:val="14"/>
              </w:rPr>
              <w:t>temporary clean coal control technology demonstration project,</w:t>
            </w:r>
            <w:r w:rsidRPr="00C342CD">
              <w:rPr>
                <w:rFonts w:ascii="Arial" w:eastAsia="Times New Roman" w:hAnsi="Arial" w:cs="Arial"/>
                <w:sz w:val="14"/>
                <w:szCs w:val="14"/>
              </w:rPr>
              <w:t xml:space="preserve"> for the purposes of this section is a clean coal technology demonstration project that is operated for a period of 5 years or less, and which complies with the State implementation plan for the State in which the project is located and other requirements necessary to attain and maintain the national ambient air quality standards during the project and after it is terminated.</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(l) The reactivation of a very clean coal-fired electric utility steam generating unit is exempt from the requirements of this section.</w:t>
            </w:r>
          </w:p>
          <w:p w:rsidR="00C342CD" w:rsidRPr="00C342CD" w:rsidRDefault="00C342CD" w:rsidP="00C342CD">
            <w:pPr>
              <w:spacing w:before="200"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[40 FR 58419, Dec. 16, 1975, as amended at 43 FR 34347, Aug. 3, 1978; 45 FR 5617, Jan. 23, 1980; 57 FR 32339, July 21, 1992; 65 FR 61750, Oct. 17, 2000]</w:t>
            </w:r>
          </w:p>
          <w:p w:rsidR="00C342CD" w:rsidRPr="00C342CD" w:rsidRDefault="00C342CD" w:rsidP="00C342CD">
            <w:pPr>
              <w:spacing w:before="200" w:after="100" w:line="240" w:lineRule="auto"/>
              <w:outlineLvl w:val="1"/>
              <w:rPr>
                <w:rFonts w:ascii="Arial" w:eastAsia="Times New Roman" w:hAnsi="Arial" w:cs="Arial"/>
                <w:b/>
                <w:bCs/>
                <w:sz w:val="14"/>
                <w:szCs w:val="14"/>
              </w:rPr>
            </w:pPr>
            <w:bookmarkStart w:id="13" w:name="40:7.0.1.1.1.1.151.15"/>
            <w:bookmarkEnd w:id="13"/>
            <w:r w:rsidRPr="00C342CD">
              <w:rPr>
                <w:rFonts w:ascii="Arial" w:eastAsia="Times New Roman" w:hAnsi="Arial" w:cs="Arial"/>
                <w:b/>
                <w:bCs/>
                <w:sz w:val="14"/>
                <w:szCs w:val="14"/>
              </w:rPr>
              <w:t>§ 60.15   Reconstruction.</w:t>
            </w:r>
          </w:p>
          <w:p w:rsidR="00C342CD" w:rsidRPr="00C342CD" w:rsidRDefault="00C342CD" w:rsidP="00A86249">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(a) An existing facility, upon reconstruction, becomes an affected facility, irrespective of any change in emission rate.</w:t>
            </w:r>
          </w:p>
          <w:p w:rsidR="00C342CD" w:rsidRPr="00C342CD" w:rsidRDefault="00C342CD" w:rsidP="00A86249">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(b) “Reconstruction” means the replacement of components of an existing facility to such an extent that: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(1) The fixed capital cost of the new components exceeds 50 percent of the fixed capital cost that would be required to construct a comparable entirely new facility, and</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(2) It is technologically and economically feasible to meet the applicable standards set forth in this part.</w:t>
            </w:r>
          </w:p>
          <w:p w:rsidR="00C342CD" w:rsidRPr="00C342CD" w:rsidRDefault="00C342CD" w:rsidP="00A86249">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(c) “Fixed capital cost” means the capital needed to provide all the depreciable components.</w:t>
            </w:r>
          </w:p>
          <w:p w:rsidR="00C342CD" w:rsidRPr="00C342CD" w:rsidRDefault="00C342CD" w:rsidP="00A86249">
            <w:pPr>
              <w:spacing w:before="100" w:beforeAutospacing="1" w:after="100" w:afterAutospacing="1" w:line="240" w:lineRule="auto"/>
              <w:rPr>
                <w:rFonts w:ascii="Arial" w:eastAsia="Times New Roman" w:hAnsi="Arial" w:cs="Arial"/>
                <w:sz w:val="14"/>
                <w:szCs w:val="14"/>
              </w:rPr>
            </w:pPr>
            <w:r w:rsidRPr="00C342CD">
              <w:rPr>
                <w:rFonts w:ascii="Arial" w:eastAsia="Times New Roman" w:hAnsi="Arial" w:cs="Arial"/>
                <w:sz w:val="14"/>
                <w:szCs w:val="14"/>
              </w:rPr>
              <w:t>(d) If an owner or operator of an existing facility proposes to replace components, and the fixed capital cost of the new components exceeds 50 percent of the fixed capital cost that would be required to construct a comparable entirely new facility, he shall notify the Administrator of the proposed replacements. The notice must be postmarked 60 days (or as soon as practicable) before construction of the replacements is commenced and must include the following information:</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(1) Name and address of the owner or operator.</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(2) The location of the existing facility.</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(3) A brief description of the existing facility and the components which are to be replaced.</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(4) A description of the existing air pollution control equipment and the proposed air pollution control equipment.</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(5) An estimate of the fixed capital cost of the replacements and of constructing a comparable entirely new facility.</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(6) The estimated life of the existing facility after the replacements.</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(7) A discussion of any economic or technical limitations the facility may have in complying with the applicable standards of performance after the proposed replacements.</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(e) The Administrator will determine, within 30 days of the receipt of the notice required by paragraph (d) of this section and any additional information he may reasonably require, whether the proposed replacement constitutes reconstruction.</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(f) The Administrator's determination under paragraph (e) shall be based on:</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(1) The fixed capital cost of the replacements in comparison to the fixed capital cost that would be required to construct a comparable entirely new facility;</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(2) The estimated life of the facility after the replacements compared to the life of a comparable entirely new facility;</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lastRenderedPageBreak/>
              <w:t>(3) The extent to which the components being replaced cause or contribute to the emissions from the facility; and</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(4) Any economic or technical limitations on compliance with applicable standards of performance which are inherent in the proposed replacements.</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(g) Individual subparts of this part may include specific provisions which refine and delimit the concept of reconstruction set forth in this section.</w:t>
            </w:r>
          </w:p>
          <w:p w:rsidR="00C342CD" w:rsidRPr="00C342CD" w:rsidRDefault="00C342CD" w:rsidP="00C342CD">
            <w:pPr>
              <w:spacing w:before="200"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[40 FR 58420, Dec. 16, 1975]</w:t>
            </w:r>
          </w:p>
          <w:p w:rsidR="00C342CD" w:rsidRPr="00C342CD" w:rsidRDefault="00C342CD" w:rsidP="00C342CD">
            <w:pPr>
              <w:spacing w:before="200" w:after="100" w:line="240" w:lineRule="auto"/>
              <w:outlineLvl w:val="1"/>
              <w:rPr>
                <w:rFonts w:ascii="Arial" w:eastAsia="Times New Roman" w:hAnsi="Arial" w:cs="Arial"/>
                <w:b/>
                <w:bCs/>
                <w:sz w:val="14"/>
                <w:szCs w:val="14"/>
              </w:rPr>
            </w:pPr>
            <w:bookmarkStart w:id="14" w:name="40:7.0.1.1.1.1.151.16"/>
            <w:bookmarkEnd w:id="14"/>
            <w:r w:rsidRPr="00C342CD">
              <w:rPr>
                <w:rFonts w:ascii="Arial" w:eastAsia="Times New Roman" w:hAnsi="Arial" w:cs="Arial"/>
                <w:b/>
                <w:bCs/>
                <w:sz w:val="14"/>
                <w:szCs w:val="14"/>
              </w:rPr>
              <w:t>§ 60.16   Priority list.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b/>
                <w:bCs/>
                <w:smallCaps/>
                <w:sz w:val="14"/>
                <w:szCs w:val="14"/>
              </w:rPr>
            </w:pPr>
            <w:r w:rsidRPr="00C342CD">
              <w:rPr>
                <w:rFonts w:ascii="Arial" w:eastAsia="Times New Roman" w:hAnsi="Arial" w:cs="Arial"/>
                <w:b/>
                <w:bCs/>
                <w:smallCaps/>
                <w:sz w:val="14"/>
                <w:szCs w:val="14"/>
              </w:rPr>
              <w:t>Prioritized Major Source Categories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1179"/>
              <w:gridCol w:w="8171"/>
            </w:tblGrid>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i/>
                      <w:iCs/>
                      <w:sz w:val="14"/>
                    </w:rPr>
                    <w:t>Priority Number</w:t>
                  </w:r>
                  <w:r w:rsidRPr="00C342CD">
                    <w:rPr>
                      <w:rFonts w:ascii="Arial" w:eastAsia="Times New Roman" w:hAnsi="Arial" w:cs="Arial"/>
                      <w:b/>
                      <w:bCs/>
                      <w:sz w:val="14"/>
                      <w:szCs w:val="14"/>
                    </w:rPr>
                    <w:t> </w:t>
                  </w:r>
                  <w:r w:rsidRPr="00C342CD">
                    <w:rPr>
                      <w:rFonts w:ascii="Arial" w:eastAsia="Times New Roman" w:hAnsi="Arial" w:cs="Arial"/>
                      <w:b/>
                      <w:bCs/>
                      <w:sz w:val="14"/>
                      <w:szCs w:val="14"/>
                      <w:vertAlign w:val="superscript"/>
                    </w:rPr>
                    <w:t>1</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i/>
                      <w:iCs/>
                      <w:sz w:val="14"/>
                    </w:rPr>
                    <w:t>Source Category</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1.</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Synthetic Organic Chemical Manufacturing Industry (SOCMI) and Volatile Organic Liquid Storage Vessels and Handling Equipment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   </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 SOCMI unit processes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   </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 Volatile organic liquid (VOL) storage vessels and handling equipment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   </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 SOCMI fugitive sources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   </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 SOCMI secondary sources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2.</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Industrial Surface Coating: Cans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Petroleum Refineries: Fugitive Sources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Industrial Surface Coating: Paper</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5.</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Dry Cleaning</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   </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 Perchloroethylene</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   </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 Petroleum solvent</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6.</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Graphic Arts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7.</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Polymers and Resins: Acrylic Resins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8.</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Mineral Wool (Deleted)</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9.</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Stationary Internal Combustion Engines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10.</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Industrial Surface Coating: Fabric</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11.</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Industrial-Commercial-Institutional Steam Generating Units.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12.</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Incineration: Non-Municipal (Deleted)</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13.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Non-Metallic Mineral Processing</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14.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Metallic Mineral Processing</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15.</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Secondary Copper (Deleted)</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16.</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Phosphate Rock Preparation</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17.</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Foundries: Steel and Gray Iron</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18.</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Polymers and Resins: Polyethylene</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19.</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Charcoal Production</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20.</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Synthetic Rubber</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   </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 Tire manufacture</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   </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 SBR production</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lastRenderedPageBreak/>
                    <w:t>21.</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Vegetable Oil</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22.</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Industrial Surface Coating: Metal Coil</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23.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Petroleum Transportation and Marketing</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24.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By-Product Coke Ovens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25.</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Synthetic Fibers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26.</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Plywood Manufacture</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27.</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Industrial Surface Coating: Automobiles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28.</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Industrial Surface Coating: Large Appliances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29.</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Crude Oil and Natural Gas Production</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30.</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Secondary Aluminum</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31.</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Potash (Deleted)</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32.</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Lightweight Aggregate Industry: Clay, Shale, and Slate </w:t>
                  </w:r>
                  <w:r w:rsidRPr="00C342CD">
                    <w:rPr>
                      <w:rFonts w:ascii="Arial" w:eastAsia="Times New Roman" w:hAnsi="Arial" w:cs="Arial"/>
                      <w:sz w:val="14"/>
                      <w:szCs w:val="14"/>
                      <w:vertAlign w:val="superscript"/>
                    </w:rPr>
                    <w:t>2</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33.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Glass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34.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Gypsum</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35.</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Sodium Carbonate</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36.</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Secondary Zinc (Deleted)</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37.</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Polymers and Resins: Phenolic</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38.</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Polymers and Resins: Urea-Melamine</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39.</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Ammonia (Deleted)</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40.</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Polymers and Resins: Polystyrene</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41.</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Polymers and Resins: ABS-SAN Resins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42.</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Fiberglass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43.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Polymers and Resins: Polypropylene</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44.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Textile Processing</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45.</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Asphalt Processing and Asphalt Roofing Manufacture</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46.</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Brick and Related Clay Products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47.</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Ceramic Clay Manufacturing (Deleted)</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48.</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Ammonium Nitrate Fertilizer</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49.</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Castable Refractories (Deleted)</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50.</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Borax and Boric Acid (Deleted)</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51.</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Polymers and Resins: Polyester Resins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52.</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Ammonium Sulfate</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53.</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Starch</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54.</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Perlite</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55.</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Phosphoric Acid: Thermal Process (Deleted)</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56.</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Uranium Refining</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57.</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Animal Feed Defluorination (Deleted)</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58.</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Urea (for fertilizer and polymers)</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lastRenderedPageBreak/>
                    <w:t>59.</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Detergent (Deleted)</w:t>
                  </w:r>
                </w:p>
              </w:tc>
            </w:tr>
            <w:tr w:rsidR="00C342CD" w:rsidRPr="00C342CD" w:rsidTr="00C342CD">
              <w:trPr>
                <w:jc w:val="center"/>
              </w:trPr>
              <w:tc>
                <w:tcPr>
                  <w:tcW w:w="0" w:type="auto"/>
                  <w:gridSpan w:val="2"/>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center"/>
                    <w:rPr>
                      <w:rFonts w:ascii="Arial" w:eastAsia="Times New Roman" w:hAnsi="Arial" w:cs="Arial"/>
                      <w:sz w:val="14"/>
                      <w:szCs w:val="14"/>
                    </w:rPr>
                  </w:pPr>
                  <w:r w:rsidRPr="00C342CD">
                    <w:rPr>
                      <w:rFonts w:ascii="Arial" w:eastAsia="Times New Roman" w:hAnsi="Arial" w:cs="Arial"/>
                      <w:i/>
                      <w:iCs/>
                      <w:sz w:val="14"/>
                    </w:rPr>
                    <w:t>Other Source Categories</w:t>
                  </w:r>
                </w:p>
              </w:tc>
            </w:tr>
            <w:tr w:rsidR="00C342CD" w:rsidRPr="00C342CD" w:rsidTr="00C342CD">
              <w:trPr>
                <w:jc w:val="center"/>
              </w:trPr>
              <w:tc>
                <w:tcPr>
                  <w:tcW w:w="0" w:type="auto"/>
                  <w:gridSpan w:val="2"/>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Lead acid battery manufacture </w:t>
                  </w:r>
                  <w:r w:rsidRPr="00C342CD">
                    <w:rPr>
                      <w:rFonts w:ascii="Arial" w:eastAsia="Times New Roman" w:hAnsi="Arial" w:cs="Arial"/>
                      <w:sz w:val="14"/>
                      <w:szCs w:val="14"/>
                      <w:vertAlign w:val="superscript"/>
                    </w:rPr>
                    <w:t>3</w:t>
                  </w:r>
                </w:p>
              </w:tc>
            </w:tr>
            <w:tr w:rsidR="00C342CD" w:rsidRPr="00C342CD" w:rsidTr="00C342CD">
              <w:trPr>
                <w:jc w:val="center"/>
              </w:trPr>
              <w:tc>
                <w:tcPr>
                  <w:tcW w:w="0" w:type="auto"/>
                  <w:gridSpan w:val="2"/>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Organic solvent cleaning </w:t>
                  </w:r>
                  <w:r w:rsidRPr="00C342CD">
                    <w:rPr>
                      <w:rFonts w:ascii="Arial" w:eastAsia="Times New Roman" w:hAnsi="Arial" w:cs="Arial"/>
                      <w:sz w:val="14"/>
                      <w:szCs w:val="14"/>
                      <w:vertAlign w:val="superscript"/>
                    </w:rPr>
                    <w:t>3</w:t>
                  </w:r>
                </w:p>
              </w:tc>
            </w:tr>
            <w:tr w:rsidR="00C342CD" w:rsidRPr="00C342CD" w:rsidTr="00C342CD">
              <w:trPr>
                <w:jc w:val="center"/>
              </w:trPr>
              <w:tc>
                <w:tcPr>
                  <w:tcW w:w="0" w:type="auto"/>
                  <w:gridSpan w:val="2"/>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Industrial surface coating: metal furniture </w:t>
                  </w:r>
                  <w:r w:rsidRPr="00C342CD">
                    <w:rPr>
                      <w:rFonts w:ascii="Arial" w:eastAsia="Times New Roman" w:hAnsi="Arial" w:cs="Arial"/>
                      <w:sz w:val="14"/>
                      <w:szCs w:val="14"/>
                      <w:vertAlign w:val="superscript"/>
                    </w:rPr>
                    <w:t>3</w:t>
                  </w:r>
                </w:p>
              </w:tc>
            </w:tr>
            <w:tr w:rsidR="00C342CD" w:rsidRPr="00C342CD" w:rsidTr="00C342CD">
              <w:trPr>
                <w:jc w:val="center"/>
              </w:trPr>
              <w:tc>
                <w:tcPr>
                  <w:tcW w:w="0" w:type="auto"/>
                  <w:gridSpan w:val="2"/>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Stationary gas turbines </w:t>
                  </w:r>
                  <w:r w:rsidRPr="00C342CD">
                    <w:rPr>
                      <w:rFonts w:ascii="Arial" w:eastAsia="Times New Roman" w:hAnsi="Arial" w:cs="Arial"/>
                      <w:sz w:val="14"/>
                      <w:szCs w:val="14"/>
                      <w:vertAlign w:val="superscript"/>
                    </w:rPr>
                    <w:t>4</w:t>
                  </w:r>
                </w:p>
              </w:tc>
            </w:tr>
            <w:tr w:rsidR="00C342CD" w:rsidRPr="00C342CD" w:rsidTr="00C342CD">
              <w:trPr>
                <w:jc w:val="center"/>
              </w:trPr>
              <w:tc>
                <w:tcPr>
                  <w:tcW w:w="0" w:type="auto"/>
                  <w:gridSpan w:val="2"/>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Municipal solid waste landfills </w:t>
                  </w:r>
                  <w:r w:rsidRPr="00C342CD">
                    <w:rPr>
                      <w:rFonts w:ascii="Arial" w:eastAsia="Times New Roman" w:hAnsi="Arial" w:cs="Arial"/>
                      <w:sz w:val="14"/>
                      <w:szCs w:val="14"/>
                      <w:vertAlign w:val="superscript"/>
                    </w:rPr>
                    <w:t>4</w:t>
                  </w:r>
                </w:p>
              </w:tc>
            </w:tr>
          </w:tbl>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vertAlign w:val="superscript"/>
              </w:rPr>
              <w:t>1</w:t>
            </w:r>
            <w:r w:rsidRPr="00C342CD">
              <w:rPr>
                <w:rFonts w:ascii="Arial" w:eastAsia="Times New Roman" w:hAnsi="Arial" w:cs="Arial"/>
                <w:sz w:val="14"/>
                <w:szCs w:val="14"/>
              </w:rPr>
              <w:t xml:space="preserve"> Low </w:t>
            </w:r>
            <w:proofErr w:type="gramStart"/>
            <w:r w:rsidRPr="00C342CD">
              <w:rPr>
                <w:rFonts w:ascii="Arial" w:eastAsia="Times New Roman" w:hAnsi="Arial" w:cs="Arial"/>
                <w:sz w:val="14"/>
                <w:szCs w:val="14"/>
              </w:rPr>
              <w:t>numbers</w:t>
            </w:r>
            <w:proofErr w:type="gramEnd"/>
            <w:r w:rsidRPr="00C342CD">
              <w:rPr>
                <w:rFonts w:ascii="Arial" w:eastAsia="Times New Roman" w:hAnsi="Arial" w:cs="Arial"/>
                <w:sz w:val="14"/>
                <w:szCs w:val="14"/>
              </w:rPr>
              <w:t xml:space="preserve"> have highest priority, e.g., No. 1 is high priority, No. 59 is low priority.</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vertAlign w:val="superscript"/>
              </w:rPr>
              <w:t>2</w:t>
            </w:r>
            <w:r w:rsidRPr="00C342CD">
              <w:rPr>
                <w:rFonts w:ascii="Arial" w:eastAsia="Times New Roman" w:hAnsi="Arial" w:cs="Arial"/>
                <w:sz w:val="14"/>
                <w:szCs w:val="14"/>
              </w:rPr>
              <w:t> Formerly titled “Sintering: Clay and Fly Ash”.</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vertAlign w:val="superscript"/>
              </w:rPr>
              <w:t>3</w:t>
            </w:r>
            <w:r w:rsidRPr="00C342CD">
              <w:rPr>
                <w:rFonts w:ascii="Arial" w:eastAsia="Times New Roman" w:hAnsi="Arial" w:cs="Arial"/>
                <w:sz w:val="14"/>
                <w:szCs w:val="14"/>
              </w:rPr>
              <w:t> Minor source category, but included on list since an NSPS is being developed for that source category.</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vertAlign w:val="superscript"/>
              </w:rPr>
              <w:t>4</w:t>
            </w:r>
            <w:r w:rsidRPr="00C342CD">
              <w:rPr>
                <w:rFonts w:ascii="Arial" w:eastAsia="Times New Roman" w:hAnsi="Arial" w:cs="Arial"/>
                <w:sz w:val="14"/>
                <w:szCs w:val="14"/>
              </w:rPr>
              <w:t> Not prioritized, since an NSPS for this major source category has already been promulgated.</w:t>
            </w:r>
          </w:p>
          <w:p w:rsidR="00C342CD" w:rsidRPr="00C342CD" w:rsidRDefault="00C342CD" w:rsidP="00C342CD">
            <w:pPr>
              <w:spacing w:before="200"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[47 FR 951, Jan. 8, 1982, as amended at 47 FR 31876, July 23, 1982; 51 FR 42796, Nov. 25, 1986; 52 FR 11428, Apr. 8, 1987; 61 FR 9919, Mar. 12, 1996]</w:t>
            </w:r>
          </w:p>
          <w:p w:rsidR="00C342CD" w:rsidRPr="00C342CD" w:rsidRDefault="00C342CD" w:rsidP="00C342CD">
            <w:pPr>
              <w:spacing w:before="200" w:after="100" w:line="240" w:lineRule="auto"/>
              <w:outlineLvl w:val="1"/>
              <w:rPr>
                <w:rFonts w:ascii="Arial" w:eastAsia="Times New Roman" w:hAnsi="Arial" w:cs="Arial"/>
                <w:b/>
                <w:bCs/>
                <w:sz w:val="14"/>
                <w:szCs w:val="14"/>
              </w:rPr>
            </w:pPr>
            <w:bookmarkStart w:id="15" w:name="40:7.0.1.1.1.1.151.17"/>
            <w:bookmarkEnd w:id="15"/>
            <w:r w:rsidRPr="00C342CD">
              <w:rPr>
                <w:rFonts w:ascii="Arial" w:eastAsia="Times New Roman" w:hAnsi="Arial" w:cs="Arial"/>
                <w:b/>
                <w:bCs/>
                <w:sz w:val="14"/>
                <w:szCs w:val="14"/>
              </w:rPr>
              <w:t>§ 60.17   Incorporations by reference.</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The materials listed below are incorporated by reference in the corresponding sections noted. These incorporations by reference were approved by the Director of the Federal Register on the date listed. These materials are incorporated as they exist on the date of the approval, and a notice of any change in these materials will be published in the </w:t>
            </w:r>
            <w:r w:rsidRPr="00C342CD">
              <w:rPr>
                <w:rFonts w:ascii="Arial" w:eastAsia="Times New Roman" w:hAnsi="Arial" w:cs="Arial"/>
                <w:smallCaps/>
                <w:sz w:val="14"/>
                <w:szCs w:val="14"/>
              </w:rPr>
              <w:t>Federal Register.</w:t>
            </w:r>
            <w:r w:rsidRPr="00C342CD">
              <w:rPr>
                <w:rFonts w:ascii="Arial" w:eastAsia="Times New Roman" w:hAnsi="Arial" w:cs="Arial"/>
                <w:sz w:val="14"/>
                <w:szCs w:val="14"/>
              </w:rPr>
              <w:t xml:space="preserve"> The materials are available for purchase at the corresponding address noted below, and all are available for inspection at the Library (C267-01), U.S. EPA, </w:t>
            </w:r>
            <w:proofErr w:type="gramStart"/>
            <w:r w:rsidRPr="00C342CD">
              <w:rPr>
                <w:rFonts w:ascii="Arial" w:eastAsia="Times New Roman" w:hAnsi="Arial" w:cs="Arial"/>
                <w:sz w:val="14"/>
                <w:szCs w:val="14"/>
              </w:rPr>
              <w:t>Research</w:t>
            </w:r>
            <w:proofErr w:type="gramEnd"/>
            <w:r w:rsidRPr="00C342CD">
              <w:rPr>
                <w:rFonts w:ascii="Arial" w:eastAsia="Times New Roman" w:hAnsi="Arial" w:cs="Arial"/>
                <w:sz w:val="14"/>
                <w:szCs w:val="14"/>
              </w:rPr>
              <w:t xml:space="preserve"> Triangle Park, NC or at the National Archives and Records Administration (NARA). For information on the availability of this material at NARA, call 202-741-6030, or go to: </w:t>
            </w:r>
            <w:r w:rsidRPr="00C342CD">
              <w:rPr>
                <w:rFonts w:ascii="Arial" w:eastAsia="Times New Roman" w:hAnsi="Arial" w:cs="Arial"/>
                <w:i/>
                <w:iCs/>
                <w:sz w:val="14"/>
                <w:szCs w:val="14"/>
              </w:rPr>
              <w:t>http://www.archives.gov/federal_register/code_of_federal_regulations/ibr_locations.html.</w:t>
            </w:r>
            <w:r w:rsidRPr="00C342CD">
              <w:rPr>
                <w:rFonts w:ascii="Arial" w:eastAsia="Times New Roman" w:hAnsi="Arial" w:cs="Arial"/>
                <w:sz w:val="14"/>
                <w:szCs w:val="14"/>
              </w:rPr>
              <w:t xml:space="preserve"> </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(a) The following materials are available for purchase from at least one of the following addresses: American Society for Testing and Materials (ASTM), 100 Barr Harbor Drive, Post Office Box C700, West Conshohocken, PA 19428-2959, Telephone (610) 832-9585, and are also available at the following Web site: </w:t>
            </w:r>
            <w:r w:rsidRPr="00C342CD">
              <w:rPr>
                <w:rFonts w:ascii="Arial" w:eastAsia="Times New Roman" w:hAnsi="Arial" w:cs="Arial"/>
                <w:i/>
                <w:iCs/>
                <w:sz w:val="14"/>
                <w:szCs w:val="14"/>
              </w:rPr>
              <w:t>http://www.astm.org;</w:t>
            </w:r>
            <w:r w:rsidRPr="00C342CD">
              <w:rPr>
                <w:rFonts w:ascii="Arial" w:eastAsia="Times New Roman" w:hAnsi="Arial" w:cs="Arial"/>
                <w:sz w:val="14"/>
                <w:szCs w:val="14"/>
              </w:rPr>
              <w:t xml:space="preserve"> or ProQuest, 789 East Eisenhower Parkway, Ann Arbor, MI 48106-1346, Telephone (734) 761-4700, and are also available at the following Web site: </w:t>
            </w:r>
            <w:r w:rsidRPr="00C342CD">
              <w:rPr>
                <w:rFonts w:ascii="Arial" w:eastAsia="Times New Roman" w:hAnsi="Arial" w:cs="Arial"/>
                <w:i/>
                <w:iCs/>
                <w:sz w:val="14"/>
                <w:szCs w:val="14"/>
              </w:rPr>
              <w:t>http://www.proquest.com</w:t>
            </w:r>
            <w:r w:rsidRPr="00C342CD">
              <w:rPr>
                <w:rFonts w:ascii="Arial" w:eastAsia="Times New Roman" w:hAnsi="Arial" w:cs="Arial"/>
                <w:sz w:val="14"/>
                <w:szCs w:val="14"/>
              </w:rPr>
              <w:t xml:space="preserve"> .</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(1) ASTM A99-76, 82 (Reapproved 1987), Standard Specification for Ferromanganese, incorporation by reference (IBR) approved for § 60.261.</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(2) ASTM A100-69, 74, 93, Standard Specification for Ferrosilicon, IBR approved for § 60.261.</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(3) ASTM A101-73, 93, Standard Specification for Ferrochromium, IBR approved for § 60.261.</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(4) ASTM A482-76, 93, Standard Specification for Ferrochromesilicon, IBR approved for § 60.261.</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(5) ASTM A483-64, 74 (Reapproved 1988), Standard Specification for Silicomanganese, IBR approved for § 60.261.</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(6) ASTM A495-76, 94, Standard Specification for Calcium-Silicon and Calcium Manganese-Silicon, IBR approved for § 60.261.</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 xml:space="preserve">(7) ASTM D86-96, Standard Test Method for Distillation of Petroleum Products (Approved April 10, 1996), IBR approved for §§ 60.562-2(d), 60.593(d), </w:t>
            </w:r>
            <w:proofErr w:type="gramStart"/>
            <w:r w:rsidRPr="00C342CD">
              <w:rPr>
                <w:rFonts w:ascii="Arial" w:eastAsia="Times New Roman" w:hAnsi="Arial" w:cs="Arial"/>
                <w:sz w:val="14"/>
                <w:szCs w:val="14"/>
              </w:rPr>
              <w:t>60.593a(</w:t>
            </w:r>
            <w:proofErr w:type="gramEnd"/>
            <w:r w:rsidRPr="00C342CD">
              <w:rPr>
                <w:rFonts w:ascii="Arial" w:eastAsia="Times New Roman" w:hAnsi="Arial" w:cs="Arial"/>
                <w:sz w:val="14"/>
                <w:szCs w:val="14"/>
              </w:rPr>
              <w:t>d), 60.633(h) and 60.5401(f).</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(8) ASTM D129-64, 78, 95, 00, Standard Test Method for Sulfur in Petroleum Products (General Bomb Method), IBR approved for §§ 60.106(j)(2), 60.335(b)(10)(i), and appendix A: Method 19, 12.5.2.2.3.</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(9) ASTM D129-00 (Reapproved 2005), Standard Test Method for Sulfur in Petroleum Products (General Bomb Method), IBR approved for § 60.4415(a</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1)(i).</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 xml:space="preserve">(10) ASTM D240-76, 92, Standard Test Method for Heat of Combustion of Liquid Hydrocarbon Fuels by Bomb Calorimeter, IBR approved for </w:t>
            </w:r>
            <w:r w:rsidRPr="00C342CD">
              <w:rPr>
                <w:rFonts w:ascii="Arial" w:eastAsia="Times New Roman" w:hAnsi="Arial" w:cs="Arial"/>
                <w:sz w:val="14"/>
                <w:szCs w:val="14"/>
              </w:rPr>
              <w:lastRenderedPageBreak/>
              <w:t>§§ 60.46(c), 60.296(b), and appendix A: Method 19, Section 12.5.2.2.3.</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(11) ASTM D270-65, 75, Standard Method of Sampling Petroleum and Petroleum Products, IBR approved for appendix A: Method 19, Section 12.5.2.2.1.</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(12) ASTM D323-82, 94, Test Method for Vapor Pressure of Petroleum Products (Reid Method), IBR approved for §§ 60.111(l), 60.111a(g), 60.111b(g), and 60.116b(f)(2)(ii).</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(13) ASTM D388-77, 90, 91, 95, 98a, 99 (Reapproved 2004) </w:t>
            </w:r>
            <w:r w:rsidRPr="00C342CD">
              <w:rPr>
                <w:rFonts w:ascii="Arial" w:eastAsia="Times New Roman" w:hAnsi="Arial" w:cs="Arial"/>
                <w:sz w:val="10"/>
                <w:szCs w:val="10"/>
                <w:vertAlign w:val="superscript"/>
              </w:rPr>
              <w:t>e1</w:t>
            </w:r>
            <w:r w:rsidRPr="00C342CD">
              <w:rPr>
                <w:rFonts w:ascii="Arial" w:eastAsia="Times New Roman" w:hAnsi="Arial" w:cs="Arial"/>
                <w:sz w:val="14"/>
                <w:szCs w:val="14"/>
              </w:rPr>
              <w:t xml:space="preserve"> , Standard Specification for Classification of Coals by Rank, IBR approved for §§ 60.24(h)(8), 60.41 of subpart D of this part, 60.45(f)(4)(i), 60.45(f)(4)(ii), 60.45(f)(4)(vi), 60.41Da of subpart Da of this part, 60.41b of subpart Db of this part, 60.41c of subpart Dc of this part, 60.251 of subpart Y of this part, and 60.4102.</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(14) ASTM D396-78, 89, 90, 92, 96, 98, Standard Specification for Fuel Oils, IBR approved for §§ 60.41b of subpart Db of this part, 60.41c of subpart Dc of this part, 60.111(b) of subpart K of this part, and 60.111a(b) of subpart Ka of this part.</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 xml:space="preserve">(15) ASTM D975-78, 96, 98a, Standard Specification for Diesel Fuel Oils, IBR approved for §§ 60.111(b) of subpart K of this part and </w:t>
            </w:r>
            <w:proofErr w:type="gramStart"/>
            <w:r w:rsidRPr="00C342CD">
              <w:rPr>
                <w:rFonts w:ascii="Arial" w:eastAsia="Times New Roman" w:hAnsi="Arial" w:cs="Arial"/>
                <w:sz w:val="14"/>
                <w:szCs w:val="14"/>
              </w:rPr>
              <w:t>60.111a(</w:t>
            </w:r>
            <w:proofErr w:type="gramEnd"/>
            <w:r w:rsidRPr="00C342CD">
              <w:rPr>
                <w:rFonts w:ascii="Arial" w:eastAsia="Times New Roman" w:hAnsi="Arial" w:cs="Arial"/>
                <w:sz w:val="14"/>
                <w:szCs w:val="14"/>
              </w:rPr>
              <w:t>b) of subpart Ka of this part.</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(16) ASTM D975-08a, Standard Specification for Diesel Fuel Oils, IBR approved for §§ 60.41b of subpart Db of this part and 60.41c of subpart Dc of this part.</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(17) ASTM D1072-80, 90 (Reapproved 1994), Standard Test Method for Total Sulfur in Fuel Gases, IBR approved for § 60.335(b</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10)(ii).</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(18) ASTM D1072-90 (Reapproved 1999), Standard Test Method for Total Sulfur in Fuel Gases, IBR approved for § 60.4415(a</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1)(ii).</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(19) ASTM D1137-53, 75, Standard Method for Analysis of Natural Gases and Related Types of Gaseous Mixtures by the Mass Spectrometer, IBR approved for § 60.45(f)(5)(i).</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(20) ASTM D1193-77, 91, Standard Specification for Reagent Water, IBR approved for appendix A: Method 5, Section 7.1.3; Method 5E, Section 7.2.1; Method 5F, Section 7.2.1; Method 6, Section 7.1.1; Method 7, Section 7.1.1; Method 7C, Section 7.1.1; Method 7D, Section 7.1.1; Method 10A, Section 7.1.1; Method 11, Section 7.1.3; Method 12, Section 7.1.3; Method 13A, Section 7.1.2; Method 26, Section 7.1.2; Method 26A, Section 7.1.2; and Method 29, Section 7.2.2.</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(21) ASTM D1266-87, 91, 98, Standard Test Method for Sulfur in Petroleum Products (Lamp Method), IBR approved for §§ 60.106(j</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2) and 60.335(b)(10)(i).</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(22) ASTM D1266-98 (Reapproved 2003</w:t>
            </w:r>
            <w:proofErr w:type="gramStart"/>
            <w:r w:rsidRPr="00C342CD">
              <w:rPr>
                <w:rFonts w:ascii="Arial" w:eastAsia="Times New Roman" w:hAnsi="Arial" w:cs="Arial"/>
                <w:sz w:val="14"/>
                <w:szCs w:val="14"/>
              </w:rPr>
              <w:t>)e1</w:t>
            </w:r>
            <w:proofErr w:type="gramEnd"/>
            <w:r w:rsidRPr="00C342CD">
              <w:rPr>
                <w:rFonts w:ascii="Arial" w:eastAsia="Times New Roman" w:hAnsi="Arial" w:cs="Arial"/>
                <w:sz w:val="14"/>
                <w:szCs w:val="14"/>
              </w:rPr>
              <w:t>, Standard Test Method for Sulfur in Petroleum Products (Lamp Method), IBR approved for § 60.4415(a)(1)(i).</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(23) ASTM D1475-60 (Reapproved 1980), 90, Standard Test Method for Density of Paint, Varnish Lacquer, and Related Products, IBR approved for § 60.435(d)(1), appendix A: Method 24, Section 6.1; and Method 24A, Sections 6.5 and 7.1.</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(24) ASTM D1552-83, 95, 01, Standard Test Method for Sulfur in Petroleum Products (High-Temperature Method), IBR approved for §§ 60.106(j</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2), 60.335(b)(10)(i), and appendix A: Method 19, Section 12.5.2.2.3.</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(25) ASTM D1552-03, Standard Test Method for Sulfur in Petroleum Products (High-Temper</w:t>
            </w:r>
            <w:r w:rsidR="00A86249">
              <w:rPr>
                <w:rFonts w:ascii="Arial" w:eastAsia="Times New Roman" w:hAnsi="Arial" w:cs="Arial"/>
                <w:sz w:val="14"/>
                <w:szCs w:val="14"/>
              </w:rPr>
              <w:t>ature Method), IBR approved for</w:t>
            </w:r>
            <w:r w:rsidRPr="00C342CD">
              <w:rPr>
                <w:rFonts w:ascii="Arial" w:eastAsia="Times New Roman" w:hAnsi="Arial" w:cs="Arial"/>
                <w:sz w:val="14"/>
                <w:szCs w:val="14"/>
              </w:rPr>
              <w:t>§ 60.4415(a</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1)(i).</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(26) ASTM D1826-77, 94, Standard Test Method for Calorific Value of Gases in Natural Gas Range by Continuous Recording Calorimeter, IBR approved for §§ 60.45(f)(5)(ii), 60.46(c)(2), 60.296(b)(3), and appendix A: Method 19, Section 12.3.2.4.</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(27) ASTM D1835-87, 91, 97, 03a, Standard Specification for Liquefied Petroleum (LP) Gases, IBR approved for §§ 60.41Da of subpart Da of this part, 60.41b of subpart Db of this part, and 60.41c of subpart Dc of this part.</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(28) ASTM D1945-64, 76, 91, 96, Standard Method for Analysis of Natural Gas by Gas Chromatography, IBR approved for § 60.45(f)(5)(i).</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(29) ASTM D1946-77, 90 (Reapproved 1994), Standard Method for Analysis of Reformed Gas by Gas Chromatography, IBR approved for §§ 60.18(f)(3), 60.45(f)(5)(i), 60.564(f)(1), 60.614(e)(2)(ii), 60.614(e)(4), 60.664(e)(2)(ii), 60.664(e)(4), 60.704(d)(2)(ii), and 60.704(d)(4).</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 xml:space="preserve">(30) ASTM D2013-72, 86, Standard Method of Preparing Coal Samples for Analysis, IBR approved for appendix A: Method 19, Section </w:t>
            </w:r>
            <w:r w:rsidRPr="00C342CD">
              <w:rPr>
                <w:rFonts w:ascii="Arial" w:eastAsia="Times New Roman" w:hAnsi="Arial" w:cs="Arial"/>
                <w:sz w:val="14"/>
                <w:szCs w:val="14"/>
              </w:rPr>
              <w:lastRenderedPageBreak/>
              <w:t>12.5.2.1.3.</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(31) ASTM D2015-77 (Reapproved 1978), 96, Standard Test Method for Gross Calorific Value of Solid Fuel by the Adiabatic Bomb Calorimeter, IBR approved for § 60.45(f</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5)(ii), 60.46(c)(2), and appendix A: Method 19, Section 12.5.2.1.3.</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(32) ASTM D2016-74, 83, Standard Test Methods for Moisture Content of Wood, IBR approved for appendix A: Method 28, Section 16.1.1.</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(33) ASTM D2234-76, 96, 97b, 98, Standard Methods for Collection of a Gross Sample of Coal, IBR approved for appendix A: Method 19, Section 12.5.2.1.1.</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(34) ASTM D2369-81, 87, 90, 92, 93, 95, Standard Test Method for Volatile Content of Coatings, IBR approved for appendix A: Method 24, Section 6.2.</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(35) ASTM D2382-76, 88, Heat of Combustion of Hydrocarbon Fuels by Bomb Calorimeter (High-Precision Method), IBR approved for §§ 60.18(f)(3), 60.485(g)(6), 60.485a(g)(6), 60.564(f)(3), 60.614(e)(4), 60.664(e)(4), and 60.704(d)(4).</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(36) ASTM D2504-67, 77, 88 (Reapproved 1993), Noncondensable Gases in C3 and Lighter Hydrocarbon Products by Gas Chromatography, IBR approved for §§ 60.485(g</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5) and 60.485a(g)(5).</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(37) ASTM D2584-68 (Reapproved 1985), 94, Standard Test Method for Ignition Loss of Cured Reinforced Resins, IBR approved for § 60.685(c</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3)(i).</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(38) ASTM D2597-94 (Reapproved 1999), Standard Test Method for Analysis of Demethanized Hydrocarbon Liquid Mixtures Containing Nitrogen and Carbon Dioxide by Gas Chromatography, IBR approved for § 60.335(b</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9)(i).</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(39) ASTM D2622-87, 94, 98, Standard Test Method for Sulfur in Petroleum Products by Wavelength Dispersive X-Ray Fluorescence Spectrometry, IBR approved for §§ 60.106(j</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2) and 60.335(b)(10)(i).</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(40) ASTM D2622-05, Standard Test Method for Sulfur in Petroleum Products by Wavelength Dispersive X-Ray Fluorescence Spectrometry, IBR approved for § 60.4415(a</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1)(i).</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(41) ASTM D2879-83, 96, 97, Test Method for Vapor Pressure-Temperature Relationship and Initial Decomposition Temperature of Liquids by Isoteniscope, IBR approved for §§ 60.111b(f)(3), 60.116b(e)(3)(ii), 60.116b(f)(2)(i), 60.485(e)(1), and 60.485a(e)(1).</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 xml:space="preserve">(42) ASTM D2880-78, 96, Standard Specification for Gas Turbine Fuel Oils, IBR approved for §§ 60.111(b), </w:t>
            </w:r>
            <w:proofErr w:type="gramStart"/>
            <w:r w:rsidRPr="00C342CD">
              <w:rPr>
                <w:rFonts w:ascii="Arial" w:eastAsia="Times New Roman" w:hAnsi="Arial" w:cs="Arial"/>
                <w:sz w:val="14"/>
                <w:szCs w:val="14"/>
              </w:rPr>
              <w:t>60.111a(</w:t>
            </w:r>
            <w:proofErr w:type="gramEnd"/>
            <w:r w:rsidRPr="00C342CD">
              <w:rPr>
                <w:rFonts w:ascii="Arial" w:eastAsia="Times New Roman" w:hAnsi="Arial" w:cs="Arial"/>
                <w:sz w:val="14"/>
                <w:szCs w:val="14"/>
              </w:rPr>
              <w:t>b), and 60.335(d).</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(43) ASTM D2908-74, 91, Standard Practice for Measuring Volatile Organic Matter in Water by Aqueous-Injection Gas Chromatography, IBR approved for § 60.564(j).</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(44) ASTM D2986-71, 78, 95a, Standard Method for Evaluation of Air, Assay Media by the Monodisperse DOP (Dioctyl Phthalate) Smoke Test, IBR approved for appendix A: Method 5, Section 7.1.1; Method 12, Section 7.1.1; and Method 13A, Section 7.1.1.2.</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(45) ASTM D3173-73, 87, Standard Test Method for Moisture in the Analysis Sample of Coal and Coke, IBR approved for appendix A: Method 19, Section 12.5.2.1.3.</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(46) ASTM D3176-74, 89, Standard Method for Ultimate Analysis of Coal and Coke, IBR approved for § 60.45(f</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5)(i) and appendix A: Method 19, Section 12.3.2.3.</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(47) ASTM D3177-75, 89, Standard Test Method for Total Sulfur in the Analysis Sample of Coal and Coke, IBR approved for appendix A: Method 19, Section 12.5.2.1.3.</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(48) ASTM D3178-73 (Reapproved 1979), 89, Standard Test Methods for Carbon and Hydrogen in the Analysis Sample of Coal and Coke, IBR approved for § 60.45(f</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5)(i).</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(49) ASTM D3246-81, 92, 96, Standard Test Method for Sulfur in Petroleum Gas by Oxidative Microcoulometry, IBR approved for § 60.335(b</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10)(ii).</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(50) ASTM D3246-05, Standard Test Method for Sulfur in Petroleum Gas by Oxidative Microcoulometry, IBR approved for § 60.4415(a</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1)(ii).</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lastRenderedPageBreak/>
              <w:t>(51) ASTM D3270-73T, 80, 91, 95, Standard Test Methods for Analysis for Fluoride Content of the Atmosphere and Plant Tissues (Semiautomated Method), IBR approved for appendix A: Method 13A, Section 16.1.</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(52) ASTM D3286-85, 96, Standard Test Method for Gross Calorific Value of Coal and Coke by the Isoperibol Bomb Calorimeter, IBR approved for appendix A: Method 19, Section 12.5.2.1.3.</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(53) ASTM D3370-76, 95a, Standard Practices for Sampling Water, IBR approved for § 60.564(j).</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(54) ASTM D3792-79, 91, Standard Test Method for Water Content of Water-Reducible Paints by Direct Injection into a Gas Chromatograph, IBR approved for appendix A: Method 24, Section 6.3.</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(55) ASTM D4017-81, 90, 96a, Standard Test Method for Water in Paints and Paint Materials by the Karl Fischer Titration Method, IBR approved for appendix A: Method 24, Section 6.4.</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(56) ASTM D4057-81, 95, Standard Practice for Manual Sampling of Petroleum and Petroleum Products, IBR approved for appendix A: Method 19, Section 12.5.2.2.3.</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(57) ASTM D4057-95 (Reapproved 2000), Standard Practice for Manual Sampling of Petroleum and Petroleum Products, IBR approved for § 60.4415(a</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1).</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(58) ASTM D4084-82, 94, Standard Test Method for Analysis of Hydrogen Sulfide in Gaseous Fuels (Lead Acetate Reaction Rate Method), IBR approved for § 60.334(h)(1).</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(59) ASTM D4084-05, Standard Test Method for Analysis of Hydrogen Sulfide in Gaseous Fuels (Lead Acetate Reaction Rate Method), IBR approved for §§ 60.4360 and 60.4415(a)(1)(ii).</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(60) ASTM D4177-95, Standard Practice for Automatic Sampling of Petroleum and Petroleum Products, IBR approved for appendix A: Method 19, Section 12.5.2.2.1.</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(61) ASTM D4177-95 (Reapproved 2000), Standard Practice for Automatic Sampling of Petroleum and Petroleum Products, IBR approved for § 60.4415(a</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1).</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(62) ASTM D4239-85, 94, 97, Standard Test Methods for Sulfur in the Analysis Sample of Coal and Coke Using High Temperature Tube Furnace Combustion Methods, IBR approved for appendix A: Method 19, Section 12.5.2.1.3.</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(63) ASTM D4294-02, Standard Test Method for Sulfur in Petroleum and Petroleum Products by Energy-Dispersive X-Ray Fluorescence Spectrometry, IBR approved for § 60.335(b)(10)(i).</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(64) ASTM D4294-03, Standard Test Method for Sulfur in Petroleum and Petroleum Products by Energy-Dispersive X-Ray Fluorescence Spectrometry, IBR approved for § 60.4415(a)(1)(i).</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(65) ASTM D4442-84, 92, Standard Test Methods for Direct Moisture Content Measurement in Wood and Wood-base Materials, IBR approved for appendix A: Method 28, Section 16.1.1.</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(66) ASTM D4444-92, Standard Test Methods for Use and Calibration of Hand-Held Moisture Meters, IBR approved for appendix A: Method 28, Section 16.1.1.</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(67) ASTM D4457-85 (Reapproved 1991), Test Method for Determination of Dichloromethane and 1, 1, 1-Trichloroethane in Paints and Coatings by Direct Injection into a Gas Chromatograph, IBR approved for appendix A: Method 24, Section 6.5.</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(68) ASTM D4468-85 (Reapproved 2000), Standard Test Method for Total Sulfur in Gaseous Fuels by Hydrogenolysis and Rateometric Colorimetry, IBR approved for §§ 60.335(b)(10)(ii) and 60.4415(a)(1)(ii).</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(69) ASTM D4629-02, Standard Test Method for Trace Nitrogen in Liquid Petroleum Hydrocarbons by Syringe/Inlet Oxidative Combustion and Chemiluminescence Detection, IBR approved for §§ 60.49b(e) and 60.335(b)(9)(i).</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(70) ASTM D4809-95, Standard Test Method for Heat of Combustion of Liquid Hydrocarbon Fuels by Bomb Calorimeter (Precision Method), IBR approved for §§ 60.18(f)(3), 60.485(g)(6), 60.485a(g)(6), 60.564(f)(3), 60.614(d)(4), 60.664(e)(4), and 60.704(d)(4).</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lastRenderedPageBreak/>
              <w:t>(71) ASTM D4810-88 (Reapproved 1999), Standard Test Method for Hydrogen Sulfide in Natural Gas Using Length of Stain Detector Tubes, IBR approved for §§ 60.4360 and 60.4415(a</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1)(ii).</w:t>
            </w:r>
          </w:p>
          <w:p w:rsidR="00C342CD" w:rsidRPr="00C342CD" w:rsidRDefault="00C342CD" w:rsidP="00A86249">
            <w:pPr>
              <w:spacing w:before="100" w:beforeAutospacing="1" w:after="100" w:afterAutospacing="1" w:line="240" w:lineRule="auto"/>
              <w:ind w:firstLine="480"/>
              <w:rPr>
                <w:rFonts w:ascii="Arial" w:eastAsia="Times New Roman" w:hAnsi="Arial" w:cs="Arial"/>
                <w:sz w:val="14"/>
                <w:szCs w:val="14"/>
              </w:rPr>
            </w:pPr>
            <w:r w:rsidRPr="00C342CD">
              <w:rPr>
                <w:rFonts w:ascii="Arial" w:eastAsia="Times New Roman" w:hAnsi="Arial" w:cs="Arial"/>
                <w:sz w:val="14"/>
                <w:szCs w:val="14"/>
              </w:rPr>
              <w:t>(72) ASTM D5287-97 (Reapproved 2002), Standard Practice for Automatic Sampling of Gaseous Fuels, IBR approved for § 60.4415(a</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1).</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(73) ASTM D5403-93, Standard Test Methods for Volatile Content of Radiation Curable Materials, IBR approved for appendix A: Method 24, Section 6.6.</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(74) ASTM D5453-00, Standard Test Method for Determination of Total Sulfur in Light Hydrocarbons, Motor Fuels and Oils by Ultraviolet Fluorescence, IBR approved for § 60.335(b)(10)(i).</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(75) ASTM D5453-05, Standard Test Method for Determination of Total Sulfur in Light Hydrocarbons, Motor Fuels and Oils by Ultraviolet Fluorescence, IBR approved for § 60.4415(a)(1)(i).</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(76) ASTM D5504-01, Standard Test Method for Determination of Sulfur Compounds in Natural Gas and Gaseous Fuels by Gas Chromatography and Chemiluminescence, IBR approved for §§ 60.334(h)(1) and 60.4360.</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(77) ASTM D5762-02, Standard Test Method for Nitrogen in Petroleum and Petroleum Products by Boat-Inlet Chemiluminescence, IBR approved for § 60.335(b)(9)(i).</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(78) ASTM D5865-98, Standard Test Method for Gross Calorific Value of Coal and Coke, IBR approved for § 60.45(f</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5)(ii), 60.46(c)(2), and appendix A: Method 19, Section 12.5.2.1.3.</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(79) ASTM D6216-98, Standard Practice for Opacity Monitor Manufacturers to Certify Conformance with Design and Performance Specifications, IBR approved for appendix B, Performance Specification 1.</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(80) ASTM D6228-98, Standard Test Method for Determination of Sulfur Compounds in Natural Gas and Gaseous Fuels by Gas Chromatography and Flame Photometric Detection, IBR approved for § 60.334(h)(1).</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(81) ASTM D6228-98 (Reapproved 2003), Standard Test Method for Determination of Sulfur Compounds in Natural Gas and Gaseous Fuels by Gas Chromatography and Flame Photometric Detection, IBR approved for §§ 60.4360 and 60.4415.</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(82) ASTM D6348-03, Standard Test Method for Determination of Gaseous Compounds by Extractive Direct Interface Fourier Transform Infrared (FTIR) Spectroscopy, approved October 1, 2003, IBR approved for § 60.73a(b) of subpart Ga of this part, table 7 of subpart IIII of this part, and table 2 of subpart JJJJ of this part.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(83) ASTM D6366-99, Standard Test Method for Total Trace Nitrogen and Its Derivatives in Liquid Aromatic Hydrocarbons by Oxidative Combustion and Electrochemical Detection, IBR approved for § 60.335(b)(9)(i).</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(84) ASTM D6420-99 (Reapproved 2004), Standard Test Method for Determination of Gaseous Organic Compounds by Direct Interface Gas Chromatography-Mass Spectrometry, (Approved October 1, 2004), IBR approved for § 60.107a(d) of subpart Ja and table 2 of subpart JJJJ of this part.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(85) ASTM D6522-00, Standard Test Method for Determination of Nitrogen Oxides, Carbon Monoxide, and Oxygen Concentrations in Emissions from Natural Gas-Fired Reciprocating Engines, Combustion Turbines, Boilers, and Process Heaters Using Portable Analyzers, IBR approved for § 60.335(a).</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(86) ASTM D6522-00 (Reapproved 2005), Standard Test Method for Determination of Nitrogen Oxides, Carbon Monoxide, and Oxygen Concentrations in Emissions from Natural Gas-Fired Reciprocating Engines, Combustion Turbines, Boilers, and Process Heaters Using Portable Analyzers (Approved October 1, 2005), IBR approved for table 2 of subpart JJJJ of this part, and §§ 60.5413(b) and (d).</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(87) ASTM D6667-01, Standard Test Method for Determination of Total Volatile Sulfur in Gaseous Hydrocarbons and Liquefied Petroleum Gases by Ultraviolet Fluorescence, IBR approved for § 60.335(b)(10)(ii).</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(88) ASTM D6667-04, Standard Test Method for Determination of Total Volatile Sulfur in Gaseous Hydrocarbons and Liquefied Petroleum Gases by Ultraviolet Fluorescence, IBR approved for § 60.4415(a)(1)(ii).</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(89) ASTM D6784-02, Standard Test Method for Elemental, Oxidized, Particle-Bound and Total Mercury in Flue Gas Generated from Coal-Fired Stationary Sources (Ontario Hydro Method), IBR approved for appendix B to part 60, Performance Specification 12A, Section 8.6.2.</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lastRenderedPageBreak/>
              <w:t>(90) ASTM D6784-02, Standard Test Method for Elemental, Oxidized, Particle-Bound and Total Mercury in Flue Gas Generated from Coal-Fired Stationary Sources (Ontario Hydro Method), IBR approved for Appendix B to part 60, Performance Specification 12A, Section 8.6.2 and § 60.56c(b)(13) of subpart Ec of this part.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(91) ASTM E169-93, Standard Practices for General Techniques of Ultraviolet-Visible Quantitative Analysis (Approved May 15, 1993), IBR approved for §§ 60.485a(d), 60.593(b), 60.593a(b), 60.632(f) and 60.5400(f).</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(92) ASTM E260-96, Standard Practice for Packed Column Gas Chromatography (Approved April 10, 1996), IBR approved for §§ </w:t>
            </w:r>
            <w:proofErr w:type="gramStart"/>
            <w:r w:rsidRPr="00C342CD">
              <w:rPr>
                <w:rFonts w:ascii="Arial" w:eastAsia="Times New Roman" w:hAnsi="Arial" w:cs="Arial"/>
                <w:sz w:val="14"/>
                <w:szCs w:val="14"/>
              </w:rPr>
              <w:t>60.485a(</w:t>
            </w:r>
            <w:proofErr w:type="gramEnd"/>
            <w:r w:rsidRPr="00C342CD">
              <w:rPr>
                <w:rFonts w:ascii="Arial" w:eastAsia="Times New Roman" w:hAnsi="Arial" w:cs="Arial"/>
                <w:sz w:val="14"/>
                <w:szCs w:val="14"/>
              </w:rPr>
              <w:t>d), 60.593(b), 60.593a(b), 60.632(f), 60.5400(f) and 60.5406(b).</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(93) ASTM D6784-02 (Reapproved 2008) Standard Test Method for Elemental, Oxidized, Particle-Bound and Total Mercury in Flue Gas Generated from Coal-Fired Stationary Sources (Ontario Hydro Method), approved April 1, 2008, IBR approved for §§ 60.2165(j), 60.2730(j), tables 1, 5, 6 and 8 to subpart CCCC, and tables 2, 6, 7, and 9 to subpart DDDD, §§ 60.4900(b)(4)(v), 60.5220(b)(4)(v), tables 1 and 2 to subpart LLLL, and tables 2 and 3 to subpart MMMM.</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(94) ASTM D5865-10 (Approved January 1, 2010), Standard Test Method for Gross Calorific Value of Coal and Coke, IBR approved for § 60.45(f</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5)(ii), § 60.46(c)(2), and appendix A-7 to part 60, Method 19, section 12.5.2.1.3.</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(95) ASTM D3588-98 (Reapproved 2003), Standard Practice for Calculating Heat Value, Compressibility Factor, and Relative Density of Gaseous Fuels, (Approved May 10, 2003), IBR approved for §§ </w:t>
            </w:r>
            <w:proofErr w:type="gramStart"/>
            <w:r w:rsidRPr="00C342CD">
              <w:rPr>
                <w:rFonts w:ascii="Arial" w:eastAsia="Times New Roman" w:hAnsi="Arial" w:cs="Arial"/>
                <w:sz w:val="14"/>
                <w:szCs w:val="14"/>
              </w:rPr>
              <w:t>60.107a(</w:t>
            </w:r>
            <w:proofErr w:type="gramEnd"/>
            <w:r w:rsidRPr="00C342CD">
              <w:rPr>
                <w:rFonts w:ascii="Arial" w:eastAsia="Times New Roman" w:hAnsi="Arial" w:cs="Arial"/>
                <w:sz w:val="14"/>
                <w:szCs w:val="14"/>
              </w:rPr>
              <w:t>d) and 60.5413(d).</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(96) ASTM D4891-89 (Reapproved 2006), Standard Test Method for Heating Value of Gases in Natural Gas Range by Stoichiometric Combustion, (Approved June 1, 2006), IBR approved for §§ 60.107a(d) and 60.5413(d).</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(97) ASTM D1945-03 (Reapproved 2010), Standard Method for Analysis of Natural Gas by Gas Chromatography, (Approved January 1, 2010), IBR approved for §§ </w:t>
            </w:r>
            <w:proofErr w:type="gramStart"/>
            <w:r w:rsidRPr="00C342CD">
              <w:rPr>
                <w:rFonts w:ascii="Arial" w:eastAsia="Times New Roman" w:hAnsi="Arial" w:cs="Arial"/>
                <w:sz w:val="14"/>
                <w:szCs w:val="14"/>
              </w:rPr>
              <w:t>60.107a(</w:t>
            </w:r>
            <w:proofErr w:type="gramEnd"/>
            <w:r w:rsidRPr="00C342CD">
              <w:rPr>
                <w:rFonts w:ascii="Arial" w:eastAsia="Times New Roman" w:hAnsi="Arial" w:cs="Arial"/>
                <w:sz w:val="14"/>
                <w:szCs w:val="14"/>
              </w:rPr>
              <w:t>d) and 60.5413(d).</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(98) ASTM D5504-08, Standard Test Method for Determination of Sulfur Compounds in Natural Gas and Gaseous Fuels by Gas Chromatography and Chemiluminescence, (Approved June 15, 2008), IBR approved for §§ 60.107a(e) and 60.5413(d).</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(99) ASTM E1584-11, Standard Test Method for Assay of Nitric Acid, approved August 1, 2011, IBR approved for § 60.73a(c) of subpart Ga of this part.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(100) ASTM D4468-85 (Reapproved 2006), Standard Test Method for Total Sulfur in Gaseous Fuels by Hydrogenolysis and Rateometric Colorimetry (Approved June 1, 2006), IBR approved for § </w:t>
            </w:r>
            <w:proofErr w:type="gramStart"/>
            <w:r w:rsidRPr="00C342CD">
              <w:rPr>
                <w:rFonts w:ascii="Arial" w:eastAsia="Times New Roman" w:hAnsi="Arial" w:cs="Arial"/>
                <w:sz w:val="14"/>
                <w:szCs w:val="14"/>
              </w:rPr>
              <w:t>60.107a(</w:t>
            </w:r>
            <w:proofErr w:type="gramEnd"/>
            <w:r w:rsidRPr="00C342CD">
              <w:rPr>
                <w:rFonts w:ascii="Arial" w:eastAsia="Times New Roman" w:hAnsi="Arial" w:cs="Arial"/>
                <w:sz w:val="14"/>
                <w:szCs w:val="14"/>
              </w:rPr>
              <w:t>e).</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(101) ASTM D240-02 (Reapproved 2007), Standard Test Method for Heat of Combustion of Liquid Hydrocarbon Fuels by Bomb Calorimeter, (Approved May 1, 2007), IBR approved for § </w:t>
            </w:r>
            <w:proofErr w:type="gramStart"/>
            <w:r w:rsidRPr="00C342CD">
              <w:rPr>
                <w:rFonts w:ascii="Arial" w:eastAsia="Times New Roman" w:hAnsi="Arial" w:cs="Arial"/>
                <w:sz w:val="14"/>
                <w:szCs w:val="14"/>
              </w:rPr>
              <w:t>60.107a(</w:t>
            </w:r>
            <w:proofErr w:type="gramEnd"/>
            <w:r w:rsidRPr="00C342CD">
              <w:rPr>
                <w:rFonts w:ascii="Arial" w:eastAsia="Times New Roman" w:hAnsi="Arial" w:cs="Arial"/>
                <w:sz w:val="14"/>
                <w:szCs w:val="14"/>
              </w:rPr>
              <w:t>d).</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(102) ASTM D1826-94 (Reapproved 2003), Standard Test Method for Calorific (Heating) Value of Gases in Natural Gas Range by Continuous Recording Calorimeter, (Approved May 10, 2003), IBR approved for § 60.107a(d).</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(103) ASTM D1946-90 (Reapproved 2006), Standard Method for Analysis of Reformed Gas by Gas Chromatography, (Approved June 1, 2006), IBR approved for § </w:t>
            </w:r>
            <w:proofErr w:type="gramStart"/>
            <w:r w:rsidRPr="00C342CD">
              <w:rPr>
                <w:rFonts w:ascii="Arial" w:eastAsia="Times New Roman" w:hAnsi="Arial" w:cs="Arial"/>
                <w:sz w:val="14"/>
                <w:szCs w:val="14"/>
              </w:rPr>
              <w:t>60.107a(</w:t>
            </w:r>
            <w:proofErr w:type="gramEnd"/>
            <w:r w:rsidRPr="00C342CD">
              <w:rPr>
                <w:rFonts w:ascii="Arial" w:eastAsia="Times New Roman" w:hAnsi="Arial" w:cs="Arial"/>
                <w:sz w:val="14"/>
                <w:szCs w:val="14"/>
              </w:rPr>
              <w:t>d).</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(104) ASTM D4809-06, Standard Test Method for Heat of Combustion of Liquid Hydrocarbon Fuels by Bomb Calorimeter (Precision Method), (Approved December 1, 2006), IBR approved for § 60.107a(d).</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(105) ASTM UOP539-97, Refinery Gas Analysis by Gas Chromatography, (Copyright 1997), IBR approved for § </w:t>
            </w:r>
            <w:proofErr w:type="gramStart"/>
            <w:r w:rsidRPr="00C342CD">
              <w:rPr>
                <w:rFonts w:ascii="Arial" w:eastAsia="Times New Roman" w:hAnsi="Arial" w:cs="Arial"/>
                <w:sz w:val="14"/>
                <w:szCs w:val="14"/>
              </w:rPr>
              <w:t>60.107a(</w:t>
            </w:r>
            <w:proofErr w:type="gramEnd"/>
            <w:r w:rsidRPr="00C342CD">
              <w:rPr>
                <w:rFonts w:ascii="Arial" w:eastAsia="Times New Roman" w:hAnsi="Arial" w:cs="Arial"/>
                <w:sz w:val="14"/>
                <w:szCs w:val="14"/>
              </w:rPr>
              <w:t>d).</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(106) ASTM D3699-08, Standard Specification for Kerosine, including Appendix X1, (Approved September 1, 2008), IBR approved for §§ 60.41b of subpart Db and 60.41c of subpart Dc of this part.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(107) ASTM D6751-11b, Standard Specification for Biodiesel Fuel Blend Stock (B100) for Middle Distillate Fuels, including Appendices X1 through X3, (Approved July 15, 2011), IBR approved for §§ 60.41b of subpart Db and 60.41c of subpart Dc of this part.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(108) ASTM D7467-10, Standard Specification for Diesel Fuel Oil, Biodiesel Blend (B6 to B20), including Appendices X1 through X3, (Approved August 1, 2010), IBR approved for §§ 60.41b of subpart Db and 60.41c of subpart Dc of this part.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(b) The following material is available for purchase from the Association of Official Analytical Chemists, 1111 North 19th Street, Suite 210, </w:t>
            </w:r>
            <w:r w:rsidRPr="00C342CD">
              <w:rPr>
                <w:rFonts w:ascii="Arial" w:eastAsia="Times New Roman" w:hAnsi="Arial" w:cs="Arial"/>
                <w:sz w:val="14"/>
                <w:szCs w:val="14"/>
              </w:rPr>
              <w:lastRenderedPageBreak/>
              <w:t>Arlington, VA 22209.</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(1) AOAC Method 9, Official Methods of Analysis of the Association of Official Analytical Chemists, 11th edition, 1970, pp. 11-12, IBR approved January 27, 1983 for §§ 60.204(b)(3), 60.214(b)(3), 60.224(b)(3), 60.234(b)(3).</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(c) The following material is available for purchase from the American Petroleum Institute, 1220 L Street NW., </w:t>
            </w:r>
            <w:proofErr w:type="gramStart"/>
            <w:r w:rsidRPr="00C342CD">
              <w:rPr>
                <w:rFonts w:ascii="Arial" w:eastAsia="Times New Roman" w:hAnsi="Arial" w:cs="Arial"/>
                <w:sz w:val="14"/>
                <w:szCs w:val="14"/>
              </w:rPr>
              <w:t>Washington</w:t>
            </w:r>
            <w:proofErr w:type="gramEnd"/>
            <w:r w:rsidRPr="00C342CD">
              <w:rPr>
                <w:rFonts w:ascii="Arial" w:eastAsia="Times New Roman" w:hAnsi="Arial" w:cs="Arial"/>
                <w:sz w:val="14"/>
                <w:szCs w:val="14"/>
              </w:rPr>
              <w:t>, DC 20005.</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(1) API Publication 2517, Evaporation Loss from External Floating Roof Tanks, Second Edition, February 1980, IBR approved January 27, 1983, for §§ 60.111(i), 60.111a(f), 60.111a(f)(1) and 60.116b(e)(2)(i).</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(2) American Petroleum Institute (API) Manual of Petroleum Measurement Standards, Chapter 22-Testing Protocol, Section 2-Differential Pressure Flow Measurement Devices, First Edition, August 2005, IBR approved for § 60.107a(d) of subpart Ja of this part.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(d) The following material is available for purchase from the Technical Association of the Pulp and Paper Industry (TAPPI), Dunwoody Park, Atlanta, GA 30341.</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(1) TAPPI Method T624 os-68, IBR approved January 27, 1983 for § 60.285(d</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3).</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(e) The following material is available for purchase from the Water Pollution Control Federation (WPCF), 2626 Pennsylvania Avenue NW., </w:t>
            </w:r>
            <w:proofErr w:type="gramStart"/>
            <w:r w:rsidRPr="00C342CD">
              <w:rPr>
                <w:rFonts w:ascii="Arial" w:eastAsia="Times New Roman" w:hAnsi="Arial" w:cs="Arial"/>
                <w:sz w:val="14"/>
                <w:szCs w:val="14"/>
              </w:rPr>
              <w:t>Washington</w:t>
            </w:r>
            <w:proofErr w:type="gramEnd"/>
            <w:r w:rsidRPr="00C342CD">
              <w:rPr>
                <w:rFonts w:ascii="Arial" w:eastAsia="Times New Roman" w:hAnsi="Arial" w:cs="Arial"/>
                <w:sz w:val="14"/>
                <w:szCs w:val="14"/>
              </w:rPr>
              <w:t>, DC 20037.</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(1) Method 209A, Total Residue Dried at 103-105 °C, in Standard Methods for the Examination of Water and Wastewater, 15th Edition, 1980, IBR approved February 25, 1985 for § 60.683(b).</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(f) The following material is available for purchase from the following address: Underwriter's Laboratories, Inc. (UL), 333 Pfingsten Road, Northbrook, IL 60062.</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(1) UL 103, Sixth Edition revised as of September 3, 1986, Standard for Chimneys, Factory-built, Residential Type and Building Heating Appliance.</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(g) The following material is available for purchase from the following address: West Coast Lumber Inspection Bureau, 6980 SW. Barnes Road, Portland, OR 97223.</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(1) West Coast Lumber Standard Grading Rules No. 16, pages 5-21 and 90 and 91, September 3, 1970, revised 1984.</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(h) The following material is available for purchase from the American Society of Mechanical Engineers (ASME), Three Park Avenue, New York, NY 10016-5990, Telephone (800) 843-2763, and are also available at the following Web site: </w:t>
            </w:r>
            <w:r w:rsidRPr="00C342CD">
              <w:rPr>
                <w:rFonts w:ascii="Arial" w:eastAsia="Times New Roman" w:hAnsi="Arial" w:cs="Arial"/>
                <w:i/>
                <w:iCs/>
                <w:sz w:val="14"/>
                <w:szCs w:val="14"/>
              </w:rPr>
              <w:t>http://</w:t>
            </w:r>
            <w:proofErr w:type="gramStart"/>
            <w:r w:rsidRPr="00C342CD">
              <w:rPr>
                <w:rFonts w:ascii="Arial" w:eastAsia="Times New Roman" w:hAnsi="Arial" w:cs="Arial"/>
                <w:i/>
                <w:iCs/>
                <w:sz w:val="14"/>
                <w:szCs w:val="14"/>
              </w:rPr>
              <w:t>www.asme.org</w:t>
            </w:r>
            <w:r w:rsidRPr="00C342CD">
              <w:rPr>
                <w:rFonts w:ascii="Arial" w:eastAsia="Times New Roman" w:hAnsi="Arial" w:cs="Arial"/>
                <w:sz w:val="14"/>
                <w:szCs w:val="14"/>
              </w:rPr>
              <w:t xml:space="preserve"> .</w:t>
            </w:r>
            <w:proofErr w:type="gramEnd"/>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(1) ASME QRO-1-1994, Standard for the Qualification and Certification of Resource Recovery Facility Operators, IBR approved for §§ 60.56a, </w:t>
            </w:r>
            <w:proofErr w:type="gramStart"/>
            <w:r w:rsidRPr="00C342CD">
              <w:rPr>
                <w:rFonts w:ascii="Arial" w:eastAsia="Times New Roman" w:hAnsi="Arial" w:cs="Arial"/>
                <w:sz w:val="14"/>
                <w:szCs w:val="14"/>
              </w:rPr>
              <w:t>60.54b(</w:t>
            </w:r>
            <w:proofErr w:type="gramEnd"/>
            <w:r w:rsidRPr="00C342CD">
              <w:rPr>
                <w:rFonts w:ascii="Arial" w:eastAsia="Times New Roman" w:hAnsi="Arial" w:cs="Arial"/>
                <w:sz w:val="14"/>
                <w:szCs w:val="14"/>
              </w:rPr>
              <w:t>a), 60.54b(b), 60.1185(a), 60.1185(c)(2), 60.1675(a), and 60.1675(c)(2).</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(2) ASME PTC 4.1-1964 (Reaffirmed 1991), Power Test Codes: Test Code for Steam Generating Units (with 1968 and 1969 Addenda), IBR approved for §§ 60.46b of subpart Db of this part, </w:t>
            </w:r>
            <w:proofErr w:type="gramStart"/>
            <w:r w:rsidRPr="00C342CD">
              <w:rPr>
                <w:rFonts w:ascii="Arial" w:eastAsia="Times New Roman" w:hAnsi="Arial" w:cs="Arial"/>
                <w:sz w:val="14"/>
                <w:szCs w:val="14"/>
              </w:rPr>
              <w:t>60.58a(</w:t>
            </w:r>
            <w:proofErr w:type="gramEnd"/>
            <w:r w:rsidRPr="00C342CD">
              <w:rPr>
                <w:rFonts w:ascii="Arial" w:eastAsia="Times New Roman" w:hAnsi="Arial" w:cs="Arial"/>
                <w:sz w:val="14"/>
                <w:szCs w:val="14"/>
              </w:rPr>
              <w:t>h)(6)(ii), 60.58b(i)(6)(ii), 60.1320(a)(3) and 60.1810(a)(3).</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(3) ASME Interim Supplement 19.5 on Instruments and Apparatus: Application, Part II of Fluid Meters, 6th Edition (1971), IBR approved for §§ </w:t>
            </w:r>
            <w:proofErr w:type="gramStart"/>
            <w:r w:rsidRPr="00C342CD">
              <w:rPr>
                <w:rFonts w:ascii="Arial" w:eastAsia="Times New Roman" w:hAnsi="Arial" w:cs="Arial"/>
                <w:sz w:val="14"/>
                <w:szCs w:val="14"/>
              </w:rPr>
              <w:t>60.58a(</w:t>
            </w:r>
            <w:proofErr w:type="gramEnd"/>
            <w:r w:rsidRPr="00C342CD">
              <w:rPr>
                <w:rFonts w:ascii="Arial" w:eastAsia="Times New Roman" w:hAnsi="Arial" w:cs="Arial"/>
                <w:sz w:val="14"/>
                <w:szCs w:val="14"/>
              </w:rPr>
              <w:t>h)(6)(ii), 60.58b(i)(6)(ii), 60.1320(a)4), and 60.1810(a)(4).</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(4) ANSI/ASME PTC 19.10-1981, Flue and Exhaust Gas Analyses [Part 10, Instruments and Apparatus], IBR approved for § 60.56c(b)(4), § 60.63(f)(2) and (f)(4), § 60.106(e)(2), §§ 60.104a(d)(3), (d)(5), (d)(6), (h)(3), (h)(4), (h)(5), (i)(3), (i)(4), (i)(5), (j)(3), and (j)(4), § 60.105a(d)(4), (f)(2), (f)(4), (g)(2), and (g)(4), § 60.106a(a)(1)(iii), (a)(2)(iii), (a)(2)(v), (a)(2)(viii), (a)(3)(ii), and (a)(3)(v), and § 60.107a(a)(1)(ii), (a)(1)(iv), (a)(2)(ii), (c)(2), (c)(4), and (d)(2), tables 1 and 3 of subpart EEEE, tables 2 and 4 of subpart FFFF, table 2 of subpart JJJJ, §§ 60.4415(a)(2) and (a)(3), 60.2145(s)(1)(i) and (ii), 60.2145(t)(1)(ii), 60.2145(t)(5)(i), 60.2710(s)(1)(i) and (ii), 60.2710(t)(1)(ii), 60.2710(t)(5)(i), 60.2710(w)(3), 60.2730(q)(3), 60.4900(b)(4)(vii) and (viii), 60.4900(b)(5)(i), 60.5220(b)(4)(vii) and (viii), 60.5220(b)(5)(i), tables 1 and 2 to subpart LLLL, and tables 2 and 3 to subpart MMMM.</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(5) ASME MFC-3M-2004, Measurement of Fluid Flow in Pipes Using Orifice, Nozzle, and Venturi, IBR approved for § </w:t>
            </w:r>
            <w:proofErr w:type="gramStart"/>
            <w:r w:rsidRPr="00C342CD">
              <w:rPr>
                <w:rFonts w:ascii="Arial" w:eastAsia="Times New Roman" w:hAnsi="Arial" w:cs="Arial"/>
                <w:sz w:val="14"/>
                <w:szCs w:val="14"/>
              </w:rPr>
              <w:t>60.107a(</w:t>
            </w:r>
            <w:proofErr w:type="gramEnd"/>
            <w:r w:rsidRPr="00C342CD">
              <w:rPr>
                <w:rFonts w:ascii="Arial" w:eastAsia="Times New Roman" w:hAnsi="Arial" w:cs="Arial"/>
                <w:sz w:val="14"/>
                <w:szCs w:val="14"/>
              </w:rPr>
              <w:t>d) of subpart Ja of this part.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(6) ANSI/ASME MFC-4M-1986 (Reaffirmed 2008), Measurement of Gas Flow by Turbine Meters, IBR approved for § </w:t>
            </w:r>
            <w:proofErr w:type="gramStart"/>
            <w:r w:rsidRPr="00C342CD">
              <w:rPr>
                <w:rFonts w:ascii="Arial" w:eastAsia="Times New Roman" w:hAnsi="Arial" w:cs="Arial"/>
                <w:sz w:val="14"/>
                <w:szCs w:val="14"/>
              </w:rPr>
              <w:t>60.107a(</w:t>
            </w:r>
            <w:proofErr w:type="gramEnd"/>
            <w:r w:rsidRPr="00C342CD">
              <w:rPr>
                <w:rFonts w:ascii="Arial" w:eastAsia="Times New Roman" w:hAnsi="Arial" w:cs="Arial"/>
                <w:sz w:val="14"/>
                <w:szCs w:val="14"/>
              </w:rPr>
              <w:t>d) of subpart Ja of this part.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lastRenderedPageBreak/>
              <w:t>(7) ANSI/ASME-MFC-5M-1985 (Reaffirmed 2006), Measurement of Liquid Flow in Closed Conduits Using Transit-Time Ultrasonic Flowmeters, IBR approved for § </w:t>
            </w:r>
            <w:proofErr w:type="gramStart"/>
            <w:r w:rsidRPr="00C342CD">
              <w:rPr>
                <w:rFonts w:ascii="Arial" w:eastAsia="Times New Roman" w:hAnsi="Arial" w:cs="Arial"/>
                <w:sz w:val="14"/>
                <w:szCs w:val="14"/>
              </w:rPr>
              <w:t>60.107a(</w:t>
            </w:r>
            <w:proofErr w:type="gramEnd"/>
            <w:r w:rsidRPr="00C342CD">
              <w:rPr>
                <w:rFonts w:ascii="Arial" w:eastAsia="Times New Roman" w:hAnsi="Arial" w:cs="Arial"/>
                <w:sz w:val="14"/>
                <w:szCs w:val="14"/>
              </w:rPr>
              <w:t>d) of subpart Ja of this part.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(8) ASME MFC-6M-1998 (Reaffirmed 2005), Measurement of Fluid Flow in Pipes Using Vortex Flowmeters, IBR approved for § </w:t>
            </w:r>
            <w:proofErr w:type="gramStart"/>
            <w:r w:rsidRPr="00C342CD">
              <w:rPr>
                <w:rFonts w:ascii="Arial" w:eastAsia="Times New Roman" w:hAnsi="Arial" w:cs="Arial"/>
                <w:sz w:val="14"/>
                <w:szCs w:val="14"/>
              </w:rPr>
              <w:t>60.107a(</w:t>
            </w:r>
            <w:proofErr w:type="gramEnd"/>
            <w:r w:rsidRPr="00C342CD">
              <w:rPr>
                <w:rFonts w:ascii="Arial" w:eastAsia="Times New Roman" w:hAnsi="Arial" w:cs="Arial"/>
                <w:sz w:val="14"/>
                <w:szCs w:val="14"/>
              </w:rPr>
              <w:t>d) of subpart Ja of this part.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(9) ASME/ANSI MFC-7M-1987 (Reaffirmed 2006), Measurement of Gas Flow by Means of Critical Flow Venturi Nozzles, IBR approved for § </w:t>
            </w:r>
            <w:proofErr w:type="gramStart"/>
            <w:r w:rsidRPr="00C342CD">
              <w:rPr>
                <w:rFonts w:ascii="Arial" w:eastAsia="Times New Roman" w:hAnsi="Arial" w:cs="Arial"/>
                <w:sz w:val="14"/>
                <w:szCs w:val="14"/>
              </w:rPr>
              <w:t>60.107a(</w:t>
            </w:r>
            <w:proofErr w:type="gramEnd"/>
            <w:r w:rsidRPr="00C342CD">
              <w:rPr>
                <w:rFonts w:ascii="Arial" w:eastAsia="Times New Roman" w:hAnsi="Arial" w:cs="Arial"/>
                <w:sz w:val="14"/>
                <w:szCs w:val="14"/>
              </w:rPr>
              <w:t>d) of subpart Ja of this part.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(10) ASME/ANSI MFC-9M-1988 (Reaffirmed 2006), Measurement of Liquid Flow in Closed Conduits by Weighing Method, IBR approved for § </w:t>
            </w:r>
            <w:proofErr w:type="gramStart"/>
            <w:r w:rsidRPr="00C342CD">
              <w:rPr>
                <w:rFonts w:ascii="Arial" w:eastAsia="Times New Roman" w:hAnsi="Arial" w:cs="Arial"/>
                <w:sz w:val="14"/>
                <w:szCs w:val="14"/>
              </w:rPr>
              <w:t>60.107a(</w:t>
            </w:r>
            <w:proofErr w:type="gramEnd"/>
            <w:r w:rsidRPr="00C342CD">
              <w:rPr>
                <w:rFonts w:ascii="Arial" w:eastAsia="Times New Roman" w:hAnsi="Arial" w:cs="Arial"/>
                <w:sz w:val="14"/>
                <w:szCs w:val="14"/>
              </w:rPr>
              <w:t>d) of subpart Ja of this part.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(11) ASME MFC-11M-2006, Measurement of Fluid Flow by Means of Coriolis Mass Flowmeters, IBR approved for § 60.107a(d) of subpart Ja of this part.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(12) ASME MFC-14M-2003, Measurement of Fluid Flow Using Small Bore Precision Orifice Meters, IBR approved for § </w:t>
            </w:r>
            <w:proofErr w:type="gramStart"/>
            <w:r w:rsidRPr="00C342CD">
              <w:rPr>
                <w:rFonts w:ascii="Arial" w:eastAsia="Times New Roman" w:hAnsi="Arial" w:cs="Arial"/>
                <w:sz w:val="14"/>
                <w:szCs w:val="14"/>
              </w:rPr>
              <w:t>60.107a(</w:t>
            </w:r>
            <w:proofErr w:type="gramEnd"/>
            <w:r w:rsidRPr="00C342CD">
              <w:rPr>
                <w:rFonts w:ascii="Arial" w:eastAsia="Times New Roman" w:hAnsi="Arial" w:cs="Arial"/>
                <w:sz w:val="14"/>
                <w:szCs w:val="14"/>
              </w:rPr>
              <w:t>d) of subpart Ja of this part.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(13) ASME MFC-16-2007, Measurement of Liquid Flow in Closed Conduits with Electromagnetic Flowmeters, IBR approved for § </w:t>
            </w:r>
            <w:proofErr w:type="gramStart"/>
            <w:r w:rsidRPr="00C342CD">
              <w:rPr>
                <w:rFonts w:ascii="Arial" w:eastAsia="Times New Roman" w:hAnsi="Arial" w:cs="Arial"/>
                <w:sz w:val="14"/>
                <w:szCs w:val="14"/>
              </w:rPr>
              <w:t>60.107a(</w:t>
            </w:r>
            <w:proofErr w:type="gramEnd"/>
            <w:r w:rsidRPr="00C342CD">
              <w:rPr>
                <w:rFonts w:ascii="Arial" w:eastAsia="Times New Roman" w:hAnsi="Arial" w:cs="Arial"/>
                <w:sz w:val="14"/>
                <w:szCs w:val="14"/>
              </w:rPr>
              <w:t>d) of subpart Ja of this part.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(14) ASME MFC-18M-2001, Measurement of Fluid Flow Using Variable Area Meters, IBR approved for § </w:t>
            </w:r>
            <w:proofErr w:type="gramStart"/>
            <w:r w:rsidRPr="00C342CD">
              <w:rPr>
                <w:rFonts w:ascii="Arial" w:eastAsia="Times New Roman" w:hAnsi="Arial" w:cs="Arial"/>
                <w:sz w:val="14"/>
                <w:szCs w:val="14"/>
              </w:rPr>
              <w:t>60.107a(</w:t>
            </w:r>
            <w:proofErr w:type="gramEnd"/>
            <w:r w:rsidRPr="00C342CD">
              <w:rPr>
                <w:rFonts w:ascii="Arial" w:eastAsia="Times New Roman" w:hAnsi="Arial" w:cs="Arial"/>
                <w:sz w:val="14"/>
                <w:szCs w:val="14"/>
              </w:rPr>
              <w:t>d) of subpart Ja of this part.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(15) ASME MFC-22-2007, Measurement of Liquid by Turbine Flowmeters, IBR approved for § </w:t>
            </w:r>
            <w:proofErr w:type="gramStart"/>
            <w:r w:rsidRPr="00C342CD">
              <w:rPr>
                <w:rFonts w:ascii="Arial" w:eastAsia="Times New Roman" w:hAnsi="Arial" w:cs="Arial"/>
                <w:sz w:val="14"/>
                <w:szCs w:val="14"/>
              </w:rPr>
              <w:t>60.107a(</w:t>
            </w:r>
            <w:proofErr w:type="gramEnd"/>
            <w:r w:rsidRPr="00C342CD">
              <w:rPr>
                <w:rFonts w:ascii="Arial" w:eastAsia="Times New Roman" w:hAnsi="Arial" w:cs="Arial"/>
                <w:sz w:val="14"/>
                <w:szCs w:val="14"/>
              </w:rPr>
              <w:t>d) of subpart Ja of this part.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(j) “Standard Methods for the Examination of Water and Wastewater,” 16th edition, 1985. Method 303F: “Determination of Mercury by the Cold Vapor Technique.” This document may be obtained from the American Public Health Association, 1015 18th Street, </w:t>
            </w:r>
            <w:proofErr w:type="gramStart"/>
            <w:r w:rsidRPr="00C342CD">
              <w:rPr>
                <w:rFonts w:ascii="Arial" w:eastAsia="Times New Roman" w:hAnsi="Arial" w:cs="Arial"/>
                <w:sz w:val="14"/>
                <w:szCs w:val="14"/>
              </w:rPr>
              <w:t>NW.,</w:t>
            </w:r>
            <w:proofErr w:type="gramEnd"/>
            <w:r w:rsidRPr="00C342CD">
              <w:rPr>
                <w:rFonts w:ascii="Arial" w:eastAsia="Times New Roman" w:hAnsi="Arial" w:cs="Arial"/>
                <w:sz w:val="14"/>
                <w:szCs w:val="14"/>
              </w:rPr>
              <w:t xml:space="preserve"> Washington, DC 20036, and is incorporated by reference for appendix A to part 60, Method 29, Sections 9.2.3; 10.3; and 11.1.3.</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(k) This material is available for purchase from the American Hospital Association (AHA) Service, Inc., Post Office Box 92683, Chicago, Illinois 60675-2683. You may inspect a copy at EPA's Air and Radiation Docket and Information Center (Docket A-91-61, Item IV-J-124), Room M-1500, 1200 Pennsylvania Ave., </w:t>
            </w:r>
            <w:proofErr w:type="gramStart"/>
            <w:r w:rsidRPr="00C342CD">
              <w:rPr>
                <w:rFonts w:ascii="Arial" w:eastAsia="Times New Roman" w:hAnsi="Arial" w:cs="Arial"/>
                <w:sz w:val="14"/>
                <w:szCs w:val="14"/>
              </w:rPr>
              <w:t>NW.,</w:t>
            </w:r>
            <w:proofErr w:type="gramEnd"/>
            <w:r w:rsidRPr="00C342CD">
              <w:rPr>
                <w:rFonts w:ascii="Arial" w:eastAsia="Times New Roman" w:hAnsi="Arial" w:cs="Arial"/>
                <w:sz w:val="14"/>
                <w:szCs w:val="14"/>
              </w:rPr>
              <w:t xml:space="preserve"> Washington, DC.</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(1) An Ounce of Prevention: Waste Reduction Strategies for Health Care Facilities. American Society for Health Care Environmental Services of the American Hospital Association. Chicago, Illinois. 1993. AHA Catalog No. 057007. ISBN 0-87258-673-5. IBR approved for § 60.35e and § 60.55c.</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(l) This material is available for purchase from the National Technical Information Services, 5285 Port Royal Road, Springfield, Virginia 22161. You may inspect a copy at EPA's Air and Radiation Docket and Information Center (Docket A-91-61, Item IV-J-125), Room M-1500, 1200 Pennsylvania Ave., </w:t>
            </w:r>
            <w:proofErr w:type="gramStart"/>
            <w:r w:rsidRPr="00C342CD">
              <w:rPr>
                <w:rFonts w:ascii="Arial" w:eastAsia="Times New Roman" w:hAnsi="Arial" w:cs="Arial"/>
                <w:sz w:val="14"/>
                <w:szCs w:val="14"/>
              </w:rPr>
              <w:t>NW.,</w:t>
            </w:r>
            <w:proofErr w:type="gramEnd"/>
            <w:r w:rsidRPr="00C342CD">
              <w:rPr>
                <w:rFonts w:ascii="Arial" w:eastAsia="Times New Roman" w:hAnsi="Arial" w:cs="Arial"/>
                <w:sz w:val="14"/>
                <w:szCs w:val="14"/>
              </w:rPr>
              <w:t xml:space="preserve"> Washington, DC.</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(1) OMB Bulletin No. 93-17: Revised Statistical Definitions for Metropolitan Areas. Office of Management and Budget, June 30, 1993. NTIS No. PB 93-192-664. IBR approved for § 60.31e.</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(2) [Reserved]</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(m) This material is available for purchase from at least one of the following addresses: The Gas Processors Association, 6526 East 60th Street, Tulsa, OK, 74145; or Information Handling Services, 15 Inverness Way East, PO Box 1154, Englewood, CO 80150-1154. You may inspect a copy at EPA's Air and Radiation Docket and Information Center, Room B108, 1301 Constitution Ave., </w:t>
            </w:r>
            <w:proofErr w:type="gramStart"/>
            <w:r w:rsidRPr="00C342CD">
              <w:rPr>
                <w:rFonts w:ascii="Arial" w:eastAsia="Times New Roman" w:hAnsi="Arial" w:cs="Arial"/>
                <w:sz w:val="14"/>
                <w:szCs w:val="14"/>
              </w:rPr>
              <w:t>NW.,</w:t>
            </w:r>
            <w:proofErr w:type="gramEnd"/>
            <w:r w:rsidRPr="00C342CD">
              <w:rPr>
                <w:rFonts w:ascii="Arial" w:eastAsia="Times New Roman" w:hAnsi="Arial" w:cs="Arial"/>
                <w:sz w:val="14"/>
                <w:szCs w:val="14"/>
              </w:rPr>
              <w:t xml:space="preserve"> Washington, DC 20460. You may inspect a copy at EPA's Air and Radiation Docket and Information Center, Room 3334, 1301 Constitution Ave., </w:t>
            </w:r>
            <w:proofErr w:type="gramStart"/>
            <w:r w:rsidRPr="00C342CD">
              <w:rPr>
                <w:rFonts w:ascii="Arial" w:eastAsia="Times New Roman" w:hAnsi="Arial" w:cs="Arial"/>
                <w:sz w:val="14"/>
                <w:szCs w:val="14"/>
              </w:rPr>
              <w:t>NW.,</w:t>
            </w:r>
            <w:proofErr w:type="gramEnd"/>
            <w:r w:rsidRPr="00C342CD">
              <w:rPr>
                <w:rFonts w:ascii="Arial" w:eastAsia="Times New Roman" w:hAnsi="Arial" w:cs="Arial"/>
                <w:sz w:val="14"/>
                <w:szCs w:val="14"/>
              </w:rPr>
              <w:t xml:space="preserve"> Washington, DC 20460.</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(1) Gas Processors Association Standard 2377-86, Test for Hydrogen Sulfide and Carbon Dioxide in Natural Gas Using Length of Stain Tubes, 1986 Revision, IBR approved for §§ 60.105(b)(1)(iv), 60.107a(b)(1)(iv), 60.334(h)(1), 60.4360, and 60.4415(a)(1)(ii).</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(2) Gas Processors Association Standard 2172-09, Calculation of Gross Heating Value, Relative Density, Compressibility and Theoretical Hydrocarbon Liquid Content for Natural Gas Mixtures for Custody Transfer (2009), IBR approved for § 60.107a(d) of subpart Ja of this part.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(3) Gas Processors Association Standard 2261-00, Analysis for Natural Gas and Similar Gaseous Mixtures by Gas Chromatography (2000), IBR approved for § 60.107a(d) of subpart Ja of this part.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(n) This material is available for purchase from IHS Inc., 15 Inverness Way East, Englewood, CO 80112.</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lastRenderedPageBreak/>
              <w:t>(1) International Organization for Standards 8178-4: 1996(E), Reciprocating Internal Combustion Engines—Exhaust Emission Measurement—part 4: Test Cycles for Different Engine Applications, IBR approved for § 60.4241(b).</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(2) [Reserved]</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(o) The following material is available from the U.S. Environmental Protection Agency, 1200 Pennsylvania Avenue, </w:t>
            </w:r>
            <w:proofErr w:type="gramStart"/>
            <w:r w:rsidRPr="00C342CD">
              <w:rPr>
                <w:rFonts w:ascii="Arial" w:eastAsia="Times New Roman" w:hAnsi="Arial" w:cs="Arial"/>
                <w:sz w:val="14"/>
                <w:szCs w:val="14"/>
              </w:rPr>
              <w:t>NW.,</w:t>
            </w:r>
            <w:proofErr w:type="gramEnd"/>
            <w:r w:rsidRPr="00C342CD">
              <w:rPr>
                <w:rFonts w:ascii="Arial" w:eastAsia="Times New Roman" w:hAnsi="Arial" w:cs="Arial"/>
                <w:sz w:val="14"/>
                <w:szCs w:val="14"/>
              </w:rPr>
              <w:t xml:space="preserve"> Washington, DC 20460, (202) 272-0167, </w:t>
            </w:r>
            <w:r w:rsidRPr="00C342CD">
              <w:rPr>
                <w:rFonts w:ascii="Arial" w:eastAsia="Times New Roman" w:hAnsi="Arial" w:cs="Arial"/>
                <w:i/>
                <w:iCs/>
                <w:sz w:val="14"/>
                <w:szCs w:val="14"/>
              </w:rPr>
              <w:t>http://www.epa.gov.</w:t>
            </w:r>
            <w:r w:rsidRPr="00C342CD">
              <w:rPr>
                <w:rFonts w:ascii="Arial" w:eastAsia="Times New Roman" w:hAnsi="Arial" w:cs="Arial"/>
                <w:sz w:val="14"/>
                <w:szCs w:val="14"/>
              </w:rPr>
              <w:t xml:space="preserve"> </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(1) Office of Air Quality Planning and Standards (OAQPS) Fabric Filter Bag Leak Detection Guidance, EPA-454/R-98-015, September 1997, IBR approved for §§ 60.2145(r)(2), 60.2710(r)(2), 60.4905(b)(3)(i)(B), and 60.5225(b)(3)(i)(B).</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(2) [Reserved]</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(p) The following American Gas Association material is available for purchase from the following address: ILI Infodisk, 610 Winters Avenue, Paramus, New Jersey 07652:</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(1) American Gas Association Report No. 3: Orifice Metering for Natural Gas and Other Related Hydrocarbon Fluids, Part 1: General Equations and Uncertainty Guidelines (1990), IBR approved for § </w:t>
            </w:r>
            <w:proofErr w:type="gramStart"/>
            <w:r w:rsidRPr="00C342CD">
              <w:rPr>
                <w:rFonts w:ascii="Arial" w:eastAsia="Times New Roman" w:hAnsi="Arial" w:cs="Arial"/>
                <w:sz w:val="14"/>
                <w:szCs w:val="14"/>
              </w:rPr>
              <w:t>60.107a(</w:t>
            </w:r>
            <w:proofErr w:type="gramEnd"/>
            <w:r w:rsidRPr="00C342CD">
              <w:rPr>
                <w:rFonts w:ascii="Arial" w:eastAsia="Times New Roman" w:hAnsi="Arial" w:cs="Arial"/>
                <w:sz w:val="14"/>
                <w:szCs w:val="14"/>
              </w:rPr>
              <w:t>d) of subpart Ja of this part.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(2) American Gas Association Report No. 3: Orifice Metering for Natural Gas and Other Related Hydrocarbon Fluids, Part 2: Specification and Installation Requirements (2000), IBR approved for § </w:t>
            </w:r>
            <w:proofErr w:type="gramStart"/>
            <w:r w:rsidRPr="00C342CD">
              <w:rPr>
                <w:rFonts w:ascii="Arial" w:eastAsia="Times New Roman" w:hAnsi="Arial" w:cs="Arial"/>
                <w:sz w:val="14"/>
                <w:szCs w:val="14"/>
              </w:rPr>
              <w:t>60.107a(</w:t>
            </w:r>
            <w:proofErr w:type="gramEnd"/>
            <w:r w:rsidRPr="00C342CD">
              <w:rPr>
                <w:rFonts w:ascii="Arial" w:eastAsia="Times New Roman" w:hAnsi="Arial" w:cs="Arial"/>
                <w:sz w:val="14"/>
                <w:szCs w:val="14"/>
              </w:rPr>
              <w:t>d) of subpart Ja of this part.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(3) American Gas Association Report No. 11: Measurement of Natural Gas by Coriolis Meter (2003), IBR approved for § </w:t>
            </w:r>
            <w:proofErr w:type="gramStart"/>
            <w:r w:rsidRPr="00C342CD">
              <w:rPr>
                <w:rFonts w:ascii="Arial" w:eastAsia="Times New Roman" w:hAnsi="Arial" w:cs="Arial"/>
                <w:sz w:val="14"/>
                <w:szCs w:val="14"/>
              </w:rPr>
              <w:t>60.107a(</w:t>
            </w:r>
            <w:proofErr w:type="gramEnd"/>
            <w:r w:rsidRPr="00C342CD">
              <w:rPr>
                <w:rFonts w:ascii="Arial" w:eastAsia="Times New Roman" w:hAnsi="Arial" w:cs="Arial"/>
                <w:sz w:val="14"/>
                <w:szCs w:val="14"/>
              </w:rPr>
              <w:t>d) of subpart Ja of this part.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(4) American Gas Association Transmission Measurement Committee Report No. 7: Measurement of Gas by Turbine Meters (Revised February 2006), IBR approved for § </w:t>
            </w:r>
            <w:proofErr w:type="gramStart"/>
            <w:r w:rsidRPr="00C342CD">
              <w:rPr>
                <w:rFonts w:ascii="Arial" w:eastAsia="Times New Roman" w:hAnsi="Arial" w:cs="Arial"/>
                <w:sz w:val="14"/>
                <w:szCs w:val="14"/>
              </w:rPr>
              <w:t>60.107a(</w:t>
            </w:r>
            <w:proofErr w:type="gramEnd"/>
            <w:r w:rsidRPr="00C342CD">
              <w:rPr>
                <w:rFonts w:ascii="Arial" w:eastAsia="Times New Roman" w:hAnsi="Arial" w:cs="Arial"/>
                <w:sz w:val="14"/>
                <w:szCs w:val="14"/>
              </w:rPr>
              <w:t>d) of subpart Ja of this part.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(q) The following material is available for purchase from the International Standards Organization (ISO), 1, ch. de la Voie-Creuse, Case postale 56, CH-1211 Geneva 20, Switzerland, +41 22 749 01 11, </w:t>
            </w:r>
            <w:r w:rsidRPr="00C342CD">
              <w:rPr>
                <w:rFonts w:ascii="Arial" w:eastAsia="Times New Roman" w:hAnsi="Arial" w:cs="Arial"/>
                <w:i/>
                <w:iCs/>
                <w:sz w:val="14"/>
                <w:szCs w:val="14"/>
              </w:rPr>
              <w:t>http://www.iso.org/iso/home.htm</w:t>
            </w:r>
            <w:r w:rsidRPr="00C342CD">
              <w:rPr>
                <w:rFonts w:ascii="Arial" w:eastAsia="Times New Roman" w:hAnsi="Arial" w:cs="Arial"/>
                <w:sz w:val="14"/>
                <w:szCs w:val="14"/>
              </w:rPr>
              <w:t xml:space="preserve"> .</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(1) ISO 8316: Measurement of Liquid Flow in Closed Conduits—Method by Collection of the Liquid in a Volumetric Tank (1987-10-01)—First Edition, IBR approved for § </w:t>
            </w:r>
            <w:proofErr w:type="gramStart"/>
            <w:r w:rsidRPr="00C342CD">
              <w:rPr>
                <w:rFonts w:ascii="Arial" w:eastAsia="Times New Roman" w:hAnsi="Arial" w:cs="Arial"/>
                <w:sz w:val="14"/>
                <w:szCs w:val="14"/>
              </w:rPr>
              <w:t>60.107a(</w:t>
            </w:r>
            <w:proofErr w:type="gramEnd"/>
            <w:r w:rsidRPr="00C342CD">
              <w:rPr>
                <w:rFonts w:ascii="Arial" w:eastAsia="Times New Roman" w:hAnsi="Arial" w:cs="Arial"/>
                <w:sz w:val="14"/>
                <w:szCs w:val="14"/>
              </w:rPr>
              <w:t>d) of subpart Ja of this part.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(2) [Reserved]</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(r) The following material is available from the North American Electric Reliability Corporation, 3353 Peachtree Road NE., Suite 600, North Tower, Atlanta, GA 30326, </w:t>
            </w:r>
            <w:r w:rsidRPr="00C342CD">
              <w:rPr>
                <w:rFonts w:ascii="Arial" w:eastAsia="Times New Roman" w:hAnsi="Arial" w:cs="Arial"/>
                <w:i/>
                <w:iCs/>
                <w:sz w:val="14"/>
                <w:szCs w:val="14"/>
              </w:rPr>
              <w:t>http://</w:t>
            </w:r>
            <w:proofErr w:type="gramStart"/>
            <w:r w:rsidRPr="00C342CD">
              <w:rPr>
                <w:rFonts w:ascii="Arial" w:eastAsia="Times New Roman" w:hAnsi="Arial" w:cs="Arial"/>
                <w:i/>
                <w:iCs/>
                <w:sz w:val="14"/>
                <w:szCs w:val="14"/>
              </w:rPr>
              <w:t>www.nerc.com</w:t>
            </w:r>
            <w:r w:rsidRPr="00C342CD">
              <w:rPr>
                <w:rFonts w:ascii="Arial" w:eastAsia="Times New Roman" w:hAnsi="Arial" w:cs="Arial"/>
                <w:sz w:val="14"/>
                <w:szCs w:val="14"/>
              </w:rPr>
              <w:t xml:space="preserve"> ,</w:t>
            </w:r>
            <w:proofErr w:type="gramEnd"/>
            <w:r w:rsidRPr="00C342CD">
              <w:rPr>
                <w:rFonts w:ascii="Arial" w:eastAsia="Times New Roman" w:hAnsi="Arial" w:cs="Arial"/>
                <w:sz w:val="14"/>
                <w:szCs w:val="14"/>
              </w:rPr>
              <w:t xml:space="preserve"> and is available at the following Web site: </w:t>
            </w:r>
            <w:r w:rsidRPr="00C342CD">
              <w:rPr>
                <w:rFonts w:ascii="Arial" w:eastAsia="Times New Roman" w:hAnsi="Arial" w:cs="Arial"/>
                <w:i/>
                <w:iCs/>
                <w:sz w:val="14"/>
                <w:szCs w:val="14"/>
              </w:rPr>
              <w:t>http://www.nerc.com/files/EOP-002-3_1.pdf</w:t>
            </w:r>
            <w:r w:rsidRPr="00C342CD">
              <w:rPr>
                <w:rFonts w:ascii="Arial" w:eastAsia="Times New Roman" w:hAnsi="Arial" w:cs="Arial"/>
                <w:sz w:val="14"/>
                <w:szCs w:val="14"/>
              </w:rPr>
              <w:t xml:space="preserve"> .</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(1) North American Electric Reliability Corporation, Reliability Standards for the Bulk of Electric Systems of North America, Reliability Standard EOP-002-3, Capacity and Energy Emergencies, updated November 19, 2012, IBR approved for §§ 60.4211(f) and 60.4243(d).</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(2) [Reserved]</w:t>
            </w:r>
          </w:p>
          <w:p w:rsidR="00C342CD" w:rsidRPr="00C342CD" w:rsidRDefault="00C342CD" w:rsidP="00C342CD">
            <w:pPr>
              <w:spacing w:before="200"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[48 FR 3735, Jan. 27, 1983]</w:t>
            </w:r>
          </w:p>
          <w:p w:rsidR="00C342CD" w:rsidRPr="00C342CD" w:rsidRDefault="00C342CD" w:rsidP="00C342CD">
            <w:pPr>
              <w:spacing w:before="200" w:after="100" w:afterAutospacing="1" w:line="240" w:lineRule="auto"/>
              <w:ind w:firstLine="480"/>
              <w:rPr>
                <w:rFonts w:ascii="Arial" w:eastAsia="Times New Roman" w:hAnsi="Arial" w:cs="Arial"/>
                <w:sz w:val="13"/>
                <w:szCs w:val="13"/>
              </w:rPr>
            </w:pPr>
            <w:r w:rsidRPr="00C342CD">
              <w:rPr>
                <w:rFonts w:ascii="Arial" w:eastAsia="Times New Roman" w:hAnsi="Arial" w:cs="Arial"/>
                <w:smallCaps/>
                <w:sz w:val="13"/>
                <w:szCs w:val="13"/>
              </w:rPr>
              <w:t>Editorial Note:</w:t>
            </w:r>
            <w:r w:rsidRPr="00C342CD">
              <w:rPr>
                <w:rFonts w:ascii="Arial" w:eastAsia="Times New Roman" w:hAnsi="Arial" w:cs="Arial"/>
                <w:sz w:val="13"/>
                <w:szCs w:val="13"/>
              </w:rPr>
              <w:t xml:space="preserve"> For </w:t>
            </w:r>
            <w:r w:rsidRPr="00C342CD">
              <w:rPr>
                <w:rFonts w:ascii="Arial" w:eastAsia="Times New Roman" w:hAnsi="Arial" w:cs="Arial"/>
                <w:smallCaps/>
                <w:sz w:val="13"/>
                <w:szCs w:val="13"/>
              </w:rPr>
              <w:t>Federal Register</w:t>
            </w:r>
            <w:r w:rsidRPr="00C342CD">
              <w:rPr>
                <w:rFonts w:ascii="Arial" w:eastAsia="Times New Roman" w:hAnsi="Arial" w:cs="Arial"/>
                <w:sz w:val="13"/>
                <w:szCs w:val="13"/>
              </w:rPr>
              <w:t xml:space="preserve"> citations affecting § 60.17, see the List of CFR Sections Affected, which appears in the Finding Aids section of the printed volume and at </w:t>
            </w:r>
            <w:proofErr w:type="gramStart"/>
            <w:r w:rsidRPr="00C342CD">
              <w:rPr>
                <w:rFonts w:ascii="Arial" w:eastAsia="Times New Roman" w:hAnsi="Arial" w:cs="Arial"/>
                <w:i/>
                <w:iCs/>
                <w:sz w:val="13"/>
                <w:szCs w:val="13"/>
              </w:rPr>
              <w:t>www.fdsys.gov</w:t>
            </w:r>
            <w:r w:rsidRPr="00C342CD">
              <w:rPr>
                <w:rFonts w:ascii="Arial" w:eastAsia="Times New Roman" w:hAnsi="Arial" w:cs="Arial"/>
                <w:sz w:val="13"/>
                <w:szCs w:val="13"/>
              </w:rPr>
              <w:t xml:space="preserve"> .</w:t>
            </w:r>
            <w:proofErr w:type="gramEnd"/>
            <w:r w:rsidRPr="00C342CD">
              <w:rPr>
                <w:rFonts w:ascii="Arial" w:eastAsia="Times New Roman" w:hAnsi="Arial" w:cs="Arial"/>
                <w:sz w:val="13"/>
                <w:szCs w:val="13"/>
              </w:rPr>
              <w:t xml:space="preserve"> </w:t>
            </w:r>
          </w:p>
          <w:p w:rsidR="00C342CD" w:rsidRPr="00C342CD" w:rsidRDefault="00C342CD" w:rsidP="00C342CD">
            <w:pPr>
              <w:spacing w:before="200" w:after="100" w:afterAutospacing="1" w:line="240" w:lineRule="auto"/>
              <w:ind w:firstLine="480"/>
              <w:rPr>
                <w:rFonts w:ascii="Arial" w:eastAsia="Times New Roman" w:hAnsi="Arial" w:cs="Arial"/>
                <w:sz w:val="13"/>
                <w:szCs w:val="13"/>
              </w:rPr>
            </w:pPr>
            <w:r w:rsidRPr="00C342CD">
              <w:rPr>
                <w:rFonts w:ascii="Arial" w:eastAsia="Times New Roman" w:hAnsi="Arial" w:cs="Arial"/>
                <w:smallCaps/>
                <w:sz w:val="13"/>
                <w:szCs w:val="13"/>
              </w:rPr>
              <w:t>Editorial Note:</w:t>
            </w:r>
            <w:r w:rsidRPr="00C342CD">
              <w:rPr>
                <w:rFonts w:ascii="Arial" w:eastAsia="Times New Roman" w:hAnsi="Arial" w:cs="Arial"/>
                <w:sz w:val="13"/>
                <w:szCs w:val="13"/>
              </w:rPr>
              <w:t xml:space="preserve"> At 77 FR 9446, Feb. 16, 2012, § 60.17 was amended; however, the amendment could not be incorporated because paragraph (a</w:t>
            </w:r>
            <w:proofErr w:type="gramStart"/>
            <w:r w:rsidRPr="00C342CD">
              <w:rPr>
                <w:rFonts w:ascii="Arial" w:eastAsia="Times New Roman" w:hAnsi="Arial" w:cs="Arial"/>
                <w:sz w:val="13"/>
                <w:szCs w:val="13"/>
              </w:rPr>
              <w:t>)(</w:t>
            </w:r>
            <w:proofErr w:type="gramEnd"/>
            <w:r w:rsidRPr="00C342CD">
              <w:rPr>
                <w:rFonts w:ascii="Arial" w:eastAsia="Times New Roman" w:hAnsi="Arial" w:cs="Arial"/>
                <w:sz w:val="13"/>
                <w:szCs w:val="13"/>
              </w:rPr>
              <w:t xml:space="preserve">94) already existed. </w:t>
            </w:r>
          </w:p>
          <w:p w:rsidR="00C342CD" w:rsidRPr="00C342CD" w:rsidRDefault="00C342CD" w:rsidP="00C342CD">
            <w:pPr>
              <w:spacing w:before="200" w:after="100" w:line="240" w:lineRule="auto"/>
              <w:outlineLvl w:val="1"/>
              <w:rPr>
                <w:rFonts w:ascii="Arial" w:eastAsia="Times New Roman" w:hAnsi="Arial" w:cs="Arial"/>
                <w:b/>
                <w:bCs/>
                <w:sz w:val="14"/>
                <w:szCs w:val="14"/>
              </w:rPr>
            </w:pPr>
            <w:bookmarkStart w:id="16" w:name="40:7.0.1.1.1.1.151.18"/>
            <w:bookmarkEnd w:id="16"/>
            <w:r w:rsidRPr="00C342CD">
              <w:rPr>
                <w:rFonts w:ascii="Arial" w:eastAsia="Times New Roman" w:hAnsi="Arial" w:cs="Arial"/>
                <w:b/>
                <w:bCs/>
                <w:sz w:val="14"/>
                <w:szCs w:val="14"/>
              </w:rPr>
              <w:t>§ 60.18   General control device and work practice requirements.</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(a) </w:t>
            </w:r>
            <w:r w:rsidRPr="00C342CD">
              <w:rPr>
                <w:rFonts w:ascii="Arial" w:eastAsia="Times New Roman" w:hAnsi="Arial" w:cs="Arial"/>
                <w:i/>
                <w:iCs/>
                <w:sz w:val="14"/>
                <w:szCs w:val="14"/>
              </w:rPr>
              <w:t>Introduction.</w:t>
            </w:r>
            <w:r w:rsidRPr="00C342CD">
              <w:rPr>
                <w:rFonts w:ascii="Arial" w:eastAsia="Times New Roman" w:hAnsi="Arial" w:cs="Arial"/>
                <w:sz w:val="14"/>
                <w:szCs w:val="14"/>
              </w:rPr>
              <w:t xml:space="preserve"> (1) This section contains requirements for control devices used to comply with applicable subparts of 40 CFR parts 60 and 61. The requirements are placed here for administrative convenience and apply only to facilities covered by subparts referring to this section.</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(2) This section also contains requirements for an alternative work practice used to identify leaking equipment. This alternative work practice is </w:t>
            </w:r>
            <w:r w:rsidRPr="00C342CD">
              <w:rPr>
                <w:rFonts w:ascii="Arial" w:eastAsia="Times New Roman" w:hAnsi="Arial" w:cs="Arial"/>
                <w:sz w:val="14"/>
                <w:szCs w:val="14"/>
              </w:rPr>
              <w:lastRenderedPageBreak/>
              <w:t>placed here for administrative convenience and is available to all subparts in 40 CFR parts 60, 61, 63, and 65 that require monitoring of equipment with a 40 CFR part 60, Appendix A-7, Method 21 monitor.</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(b) </w:t>
            </w:r>
            <w:r w:rsidRPr="00C342CD">
              <w:rPr>
                <w:rFonts w:ascii="Arial" w:eastAsia="Times New Roman" w:hAnsi="Arial" w:cs="Arial"/>
                <w:i/>
                <w:iCs/>
                <w:sz w:val="14"/>
                <w:szCs w:val="14"/>
              </w:rPr>
              <w:t>Flares.</w:t>
            </w:r>
            <w:r w:rsidRPr="00C342CD">
              <w:rPr>
                <w:rFonts w:ascii="Arial" w:eastAsia="Times New Roman" w:hAnsi="Arial" w:cs="Arial"/>
                <w:sz w:val="14"/>
                <w:szCs w:val="14"/>
              </w:rPr>
              <w:t xml:space="preserve"> Paragraphs (c) through (f) apply to flares.</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(c)(1) Flares shall be designed for and operated with no visible emissions as determined by the methods specified in paragraph (f), except for periods not to exceed a total of 5 minutes during any 2 consecutive hours.</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(2) Flares shall be operated with a flame present at all times, as determined by the methods specified in paragraph (f).</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(3) An owner/operator has the choice of adhering to either the heat content specifications in paragraph (c</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3)(ii) of this section and the maximum tip velocity specifications in paragraph (c)(4) of this section, or adhering to the requirements in paragraph (c)(3)(i) of this section.</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(i)(A) Flares shall be used that have a diameter of 3 inches or greater, are nonassisted, have a hydrogen content of 8.0 percent (by volume), or greater, and are designed for and operated with an exit velocity less than 37.2 m/sec (122 ft/sec) and less than the velocity, V</w:t>
            </w:r>
            <w:r w:rsidRPr="00C342CD">
              <w:rPr>
                <w:rFonts w:ascii="Arial" w:eastAsia="Times New Roman" w:hAnsi="Arial" w:cs="Arial"/>
                <w:sz w:val="10"/>
                <w:szCs w:val="10"/>
                <w:vertAlign w:val="subscript"/>
              </w:rPr>
              <w:t>max</w:t>
            </w:r>
            <w:r w:rsidRPr="00C342CD">
              <w:rPr>
                <w:rFonts w:ascii="Arial" w:eastAsia="Times New Roman" w:hAnsi="Arial" w:cs="Arial"/>
                <w:sz w:val="14"/>
                <w:szCs w:val="14"/>
              </w:rPr>
              <w:t xml:space="preserve"> , as determined by the following equation:</w:t>
            </w:r>
          </w:p>
          <w:p w:rsidR="00C342CD" w:rsidRPr="00C342CD" w:rsidRDefault="00C342CD" w:rsidP="00C342CD">
            <w:pPr>
              <w:spacing w:before="200" w:after="100" w:line="240" w:lineRule="auto"/>
              <w:ind w:left="960" w:hanging="960"/>
              <w:jc w:val="center"/>
              <w:rPr>
                <w:rFonts w:ascii="Arial" w:eastAsia="Times New Roman" w:hAnsi="Arial" w:cs="Arial"/>
                <w:sz w:val="14"/>
                <w:szCs w:val="14"/>
              </w:rPr>
            </w:pPr>
            <w:r w:rsidRPr="00C342CD">
              <w:rPr>
                <w:rFonts w:ascii="Arial" w:eastAsia="Times New Roman" w:hAnsi="Arial" w:cs="Arial"/>
                <w:sz w:val="14"/>
                <w:szCs w:val="14"/>
              </w:rPr>
              <w:t>V</w:t>
            </w:r>
            <w:r w:rsidRPr="00C342CD">
              <w:rPr>
                <w:rFonts w:ascii="Arial" w:eastAsia="Times New Roman" w:hAnsi="Arial" w:cs="Arial"/>
                <w:sz w:val="10"/>
                <w:szCs w:val="10"/>
                <w:vertAlign w:val="subscript"/>
              </w:rPr>
              <w:t>max</w:t>
            </w:r>
            <w:r w:rsidRPr="00C342CD">
              <w:rPr>
                <w:rFonts w:ascii="Arial" w:eastAsia="Times New Roman" w:hAnsi="Arial" w:cs="Arial"/>
                <w:sz w:val="14"/>
                <w:szCs w:val="14"/>
              </w:rPr>
              <w:t xml:space="preserve"> =(X</w:t>
            </w:r>
            <w:r w:rsidRPr="00C342CD">
              <w:rPr>
                <w:rFonts w:ascii="Arial" w:eastAsia="Times New Roman" w:hAnsi="Arial" w:cs="Arial"/>
                <w:sz w:val="10"/>
                <w:szCs w:val="10"/>
                <w:vertAlign w:val="subscript"/>
              </w:rPr>
              <w:t>H2</w:t>
            </w:r>
            <w:r w:rsidRPr="00C342CD">
              <w:rPr>
                <w:rFonts w:ascii="Arial" w:eastAsia="Times New Roman" w:hAnsi="Arial" w:cs="Arial"/>
                <w:sz w:val="14"/>
                <w:szCs w:val="14"/>
              </w:rPr>
              <w:t xml:space="preserve"> −K</w:t>
            </w:r>
            <w:r w:rsidRPr="00C342CD">
              <w:rPr>
                <w:rFonts w:ascii="Arial" w:eastAsia="Times New Roman" w:hAnsi="Arial" w:cs="Arial"/>
                <w:sz w:val="10"/>
                <w:szCs w:val="10"/>
                <w:vertAlign w:val="subscript"/>
              </w:rPr>
              <w:t>1</w:t>
            </w:r>
            <w:r w:rsidRPr="00C342CD">
              <w:rPr>
                <w:rFonts w:ascii="Arial" w:eastAsia="Times New Roman" w:hAnsi="Arial" w:cs="Arial"/>
                <w:sz w:val="14"/>
                <w:szCs w:val="14"/>
              </w:rPr>
              <w:t xml:space="preserve"> )* K</w:t>
            </w:r>
            <w:r w:rsidRPr="00C342CD">
              <w:rPr>
                <w:rFonts w:ascii="Arial" w:eastAsia="Times New Roman" w:hAnsi="Arial" w:cs="Arial"/>
                <w:sz w:val="10"/>
                <w:szCs w:val="10"/>
                <w:vertAlign w:val="subscript"/>
              </w:rPr>
              <w:t>2</w:t>
            </w:r>
            <w:r w:rsidRPr="00C342CD">
              <w:rPr>
                <w:rFonts w:ascii="Arial" w:eastAsia="Times New Roman" w:hAnsi="Arial" w:cs="Arial"/>
                <w:sz w:val="14"/>
                <w:szCs w:val="14"/>
              </w:rPr>
              <w:t xml:space="preserve"> </w:t>
            </w:r>
          </w:p>
          <w:p w:rsidR="00C342CD" w:rsidRPr="00C342CD" w:rsidRDefault="00C342CD" w:rsidP="00C342CD">
            <w:pPr>
              <w:spacing w:before="200"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Where:</w:t>
            </w:r>
          </w:p>
          <w:p w:rsidR="00C342CD" w:rsidRPr="00C342CD" w:rsidRDefault="00C342CD" w:rsidP="00C342CD">
            <w:pPr>
              <w:spacing w:before="200" w:after="100" w:line="240" w:lineRule="auto"/>
              <w:ind w:left="960" w:hanging="960"/>
              <w:jc w:val="center"/>
              <w:rPr>
                <w:rFonts w:ascii="Arial" w:eastAsia="Times New Roman" w:hAnsi="Arial" w:cs="Arial"/>
                <w:sz w:val="13"/>
                <w:szCs w:val="13"/>
              </w:rPr>
            </w:pPr>
            <w:r w:rsidRPr="00C342CD">
              <w:rPr>
                <w:rFonts w:ascii="Arial" w:eastAsia="Times New Roman" w:hAnsi="Arial" w:cs="Arial"/>
                <w:sz w:val="13"/>
                <w:szCs w:val="13"/>
              </w:rPr>
              <w:t>V</w:t>
            </w:r>
            <w:r w:rsidRPr="00C342CD">
              <w:rPr>
                <w:rFonts w:ascii="Arial" w:eastAsia="Times New Roman" w:hAnsi="Arial" w:cs="Arial"/>
                <w:sz w:val="9"/>
                <w:szCs w:val="9"/>
                <w:vertAlign w:val="subscript"/>
              </w:rPr>
              <w:t>max</w:t>
            </w:r>
            <w:r w:rsidRPr="00C342CD">
              <w:rPr>
                <w:rFonts w:ascii="Arial" w:eastAsia="Times New Roman" w:hAnsi="Arial" w:cs="Arial"/>
                <w:sz w:val="13"/>
                <w:szCs w:val="13"/>
              </w:rPr>
              <w:t xml:space="preserve"> =Maximum permitted velocity, m/sec.</w:t>
            </w:r>
          </w:p>
          <w:p w:rsidR="00C342CD" w:rsidRPr="00C342CD" w:rsidRDefault="00C342CD" w:rsidP="00C342CD">
            <w:pPr>
              <w:spacing w:before="200" w:after="100" w:line="240" w:lineRule="auto"/>
              <w:ind w:left="960" w:hanging="960"/>
              <w:jc w:val="center"/>
              <w:rPr>
                <w:rFonts w:ascii="Arial" w:eastAsia="Times New Roman" w:hAnsi="Arial" w:cs="Arial"/>
                <w:sz w:val="13"/>
                <w:szCs w:val="13"/>
              </w:rPr>
            </w:pPr>
            <w:r w:rsidRPr="00C342CD">
              <w:rPr>
                <w:rFonts w:ascii="Arial" w:eastAsia="Times New Roman" w:hAnsi="Arial" w:cs="Arial"/>
                <w:sz w:val="13"/>
                <w:szCs w:val="13"/>
              </w:rPr>
              <w:t>K</w:t>
            </w:r>
            <w:r w:rsidRPr="00C342CD">
              <w:rPr>
                <w:rFonts w:ascii="Arial" w:eastAsia="Times New Roman" w:hAnsi="Arial" w:cs="Arial"/>
                <w:sz w:val="9"/>
                <w:szCs w:val="9"/>
                <w:vertAlign w:val="subscript"/>
              </w:rPr>
              <w:t>1</w:t>
            </w:r>
            <w:r w:rsidRPr="00C342CD">
              <w:rPr>
                <w:rFonts w:ascii="Arial" w:eastAsia="Times New Roman" w:hAnsi="Arial" w:cs="Arial"/>
                <w:sz w:val="13"/>
                <w:szCs w:val="13"/>
              </w:rPr>
              <w:t xml:space="preserve"> =Constant, 6.0 volume-percent hydrogen.</w:t>
            </w:r>
          </w:p>
          <w:p w:rsidR="00C342CD" w:rsidRPr="00C342CD" w:rsidRDefault="00C342CD" w:rsidP="00C342CD">
            <w:pPr>
              <w:spacing w:before="200" w:after="100" w:line="240" w:lineRule="auto"/>
              <w:ind w:left="960" w:hanging="960"/>
              <w:jc w:val="center"/>
              <w:rPr>
                <w:rFonts w:ascii="Arial" w:eastAsia="Times New Roman" w:hAnsi="Arial" w:cs="Arial"/>
                <w:sz w:val="13"/>
                <w:szCs w:val="13"/>
              </w:rPr>
            </w:pPr>
            <w:r w:rsidRPr="00C342CD">
              <w:rPr>
                <w:rFonts w:ascii="Arial" w:eastAsia="Times New Roman" w:hAnsi="Arial" w:cs="Arial"/>
                <w:sz w:val="13"/>
                <w:szCs w:val="13"/>
              </w:rPr>
              <w:t>K</w:t>
            </w:r>
            <w:r w:rsidRPr="00C342CD">
              <w:rPr>
                <w:rFonts w:ascii="Arial" w:eastAsia="Times New Roman" w:hAnsi="Arial" w:cs="Arial"/>
                <w:sz w:val="9"/>
                <w:szCs w:val="9"/>
                <w:vertAlign w:val="subscript"/>
              </w:rPr>
              <w:t>2</w:t>
            </w:r>
            <w:r w:rsidRPr="00C342CD">
              <w:rPr>
                <w:rFonts w:ascii="Arial" w:eastAsia="Times New Roman" w:hAnsi="Arial" w:cs="Arial"/>
                <w:sz w:val="13"/>
                <w:szCs w:val="13"/>
              </w:rPr>
              <w:t xml:space="preserve"> =Constant, 3.9(m/sec)/volume-percent hydrogen.</w:t>
            </w:r>
          </w:p>
          <w:p w:rsidR="00C342CD" w:rsidRPr="00C342CD" w:rsidRDefault="00C342CD" w:rsidP="00C342CD">
            <w:pPr>
              <w:spacing w:before="200" w:after="100" w:line="240" w:lineRule="auto"/>
              <w:ind w:left="960" w:hanging="960"/>
              <w:jc w:val="center"/>
              <w:rPr>
                <w:rFonts w:ascii="Arial" w:eastAsia="Times New Roman" w:hAnsi="Arial" w:cs="Arial"/>
                <w:sz w:val="13"/>
                <w:szCs w:val="13"/>
              </w:rPr>
            </w:pPr>
            <w:r w:rsidRPr="00C342CD">
              <w:rPr>
                <w:rFonts w:ascii="Arial" w:eastAsia="Times New Roman" w:hAnsi="Arial" w:cs="Arial"/>
                <w:sz w:val="13"/>
                <w:szCs w:val="13"/>
              </w:rPr>
              <w:t>X</w:t>
            </w:r>
            <w:r w:rsidRPr="00C342CD">
              <w:rPr>
                <w:rFonts w:ascii="Arial" w:eastAsia="Times New Roman" w:hAnsi="Arial" w:cs="Arial"/>
                <w:sz w:val="9"/>
                <w:szCs w:val="9"/>
                <w:vertAlign w:val="subscript"/>
              </w:rPr>
              <w:t>H2</w:t>
            </w:r>
            <w:r w:rsidRPr="00C342CD">
              <w:rPr>
                <w:rFonts w:ascii="Arial" w:eastAsia="Times New Roman" w:hAnsi="Arial" w:cs="Arial"/>
                <w:sz w:val="13"/>
                <w:szCs w:val="13"/>
              </w:rPr>
              <w:t xml:space="preserve"> =The volume-percent of hydrogen, on a wet basis, as calculated by using the American Society for Testing and Materials (ASTM) Method D1946-77. (Incorporated by reference as specified in § 60.17).</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(B) The actual exit velocity of a flare shall be determined by the method specified in paragraph (f</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4) of this section.</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(ii) Flares shall be used only with the net heating value of the gas being combusted being 11.2 MJ/scm (300 Btu/scf) or greater if the flare is steam-assisted or air-assisted; or with the net heating value of the gas being combusted being 7.45 MJ/scm (200 Btu/scf) or greater if the flare is nonassisted. The net heating value of the gas being combusted shall be determined by the methods specified in paragraph (f</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3) of this section.</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(4)(i) Steam-assisted and nonassisted flares shall be designed for and operated with an exit velocity, as determined by the methods specified in paragraph (f)(4) of this section, less than 18.3 m/sec (60 ft/sec), except as provided in paragraphs (c)(4) (ii) and (iii) of this section.</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(ii) Steam-assisted and nonassisted flares designed for and operated with an exit velocity, as determined by the methods specified in paragraph (f</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4), equal to or greater than 18.3 m/sec (60 ft/sec) but less than 122 m/sec (400 ft/sec) are allowed if the net heating value of the gas being combusted is greater than 37.3 MJ/scm (1,000 Btu/scf).</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(iii) Steam-assisted and nonassisted flares designed for and operated with an exit velocity, as determined by the methods specified in paragraph (f)(4), less than the velocity, V</w:t>
            </w:r>
            <w:r w:rsidRPr="00C342CD">
              <w:rPr>
                <w:rFonts w:ascii="Arial" w:eastAsia="Times New Roman" w:hAnsi="Arial" w:cs="Arial"/>
                <w:sz w:val="10"/>
                <w:szCs w:val="10"/>
                <w:vertAlign w:val="subscript"/>
              </w:rPr>
              <w:t>max</w:t>
            </w:r>
            <w:r w:rsidRPr="00C342CD">
              <w:rPr>
                <w:rFonts w:ascii="Arial" w:eastAsia="Times New Roman" w:hAnsi="Arial" w:cs="Arial"/>
                <w:sz w:val="14"/>
                <w:szCs w:val="14"/>
              </w:rPr>
              <w:t xml:space="preserve"> , as determined by the method specified in paragraph (f)(5), and less than 122 m/sec (400 ft/sec) are allowed.</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(5) Air-assisted flares shall be designed and operated with an exit velocity less than the velocity, V</w:t>
            </w:r>
            <w:r w:rsidRPr="00C342CD">
              <w:rPr>
                <w:rFonts w:ascii="Arial" w:eastAsia="Times New Roman" w:hAnsi="Arial" w:cs="Arial"/>
                <w:sz w:val="10"/>
                <w:szCs w:val="10"/>
                <w:vertAlign w:val="subscript"/>
              </w:rPr>
              <w:t>max</w:t>
            </w:r>
            <w:r w:rsidRPr="00C342CD">
              <w:rPr>
                <w:rFonts w:ascii="Arial" w:eastAsia="Times New Roman" w:hAnsi="Arial" w:cs="Arial"/>
                <w:sz w:val="14"/>
                <w:szCs w:val="14"/>
              </w:rPr>
              <w:t xml:space="preserve"> , as determined by the method specified in paragraph (f)(6).</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(6) Flares used to comply with this section shall be steam-assisted, air-assisted, or nonassisted.</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(d) Owners or operators of flares used to comply with the provisions of this subpart shall monitor these control devices to ensure that they are operated and maintained in conformance with their designs. Applicable subparts will provide provisions stating how owners or operators of flares shall monitor these control devices.</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(e) Flares used to comply with provisions of this subpart shall be operated at all times when emissions may be vented to them.</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(f)(1) Method 22 of appendix A to this part shall be used to determine the compliance of flares with the visible emission provisions of this subpart. The observation period is 2 hours and shall be used according to Method 22.</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lastRenderedPageBreak/>
              <w:t>(2) The presence of a flare pilot flame shall be monitored using a thermocouple or any other equivalent device to detect the presence of a flame.</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(3) The net heating value of the gas being combusted in a flare shall be calculated using the following equation:</w:t>
            </w:r>
          </w:p>
          <w:p w:rsidR="00C342CD" w:rsidRPr="00C342CD" w:rsidRDefault="00C342CD" w:rsidP="00C342CD">
            <w:pPr>
              <w:spacing w:after="0" w:line="240" w:lineRule="auto"/>
              <w:jc w:val="center"/>
              <w:rPr>
                <w:rFonts w:ascii="Arial" w:eastAsia="Times New Roman" w:hAnsi="Arial" w:cs="Arial"/>
                <w:sz w:val="14"/>
                <w:szCs w:val="14"/>
              </w:rPr>
            </w:pPr>
            <w:r>
              <w:rPr>
                <w:rFonts w:ascii="Arial" w:eastAsia="Times New Roman" w:hAnsi="Arial" w:cs="Arial"/>
                <w:noProof/>
                <w:sz w:val="14"/>
                <w:szCs w:val="14"/>
              </w:rPr>
              <w:drawing>
                <wp:inline distT="0" distB="0" distL="0" distR="0">
                  <wp:extent cx="1093470" cy="298450"/>
                  <wp:effectExtent l="19050" t="0" r="0" b="0"/>
                  <wp:docPr id="20" name="Picture 20" descr="eCFR graphic ec01jn92.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eCFR graphic ec01jn92.008.gif"/>
                          <pic:cNvPicPr>
                            <a:picLocks noChangeAspect="1" noChangeArrowheads="1"/>
                          </pic:cNvPicPr>
                        </pic:nvPicPr>
                        <pic:blipFill>
                          <a:blip r:embed="rId7" cstate="print"/>
                          <a:srcRect/>
                          <a:stretch>
                            <a:fillRect/>
                          </a:stretch>
                        </pic:blipFill>
                        <pic:spPr bwMode="auto">
                          <a:xfrm>
                            <a:off x="0" y="0"/>
                            <a:ext cx="1093470" cy="298450"/>
                          </a:xfrm>
                          <a:prstGeom prst="rect">
                            <a:avLst/>
                          </a:prstGeom>
                          <a:noFill/>
                          <a:ln w="9525">
                            <a:noFill/>
                            <a:miter lim="800000"/>
                            <a:headEnd/>
                            <a:tailEnd/>
                          </a:ln>
                        </pic:spPr>
                      </pic:pic>
                    </a:graphicData>
                  </a:graphic>
                </wp:inline>
              </w:drawing>
            </w:r>
          </w:p>
          <w:p w:rsidR="00C342CD" w:rsidRPr="00C342CD" w:rsidRDefault="0051487C" w:rsidP="00C342CD">
            <w:pPr>
              <w:spacing w:before="100" w:beforeAutospacing="1" w:after="100" w:afterAutospacing="1" w:line="240" w:lineRule="auto"/>
              <w:ind w:firstLine="480"/>
              <w:jc w:val="center"/>
              <w:rPr>
                <w:rFonts w:ascii="Arial" w:eastAsia="Times New Roman" w:hAnsi="Arial" w:cs="Arial"/>
                <w:sz w:val="14"/>
                <w:szCs w:val="14"/>
              </w:rPr>
            </w:pPr>
            <w:hyperlink r:id="rId8" w:history="1">
              <w:r w:rsidR="00C342CD" w:rsidRPr="00C342CD">
                <w:rPr>
                  <w:rFonts w:ascii="Arial" w:eastAsia="Times New Roman" w:hAnsi="Arial" w:cs="Arial"/>
                  <w:color w:val="0000FF"/>
                  <w:sz w:val="12"/>
                </w:rPr>
                <w:t>View or download PDF</w:t>
              </w:r>
            </w:hyperlink>
            <w:r w:rsidR="00C342CD" w:rsidRPr="00C342CD">
              <w:rPr>
                <w:rFonts w:ascii="Arial" w:eastAsia="Times New Roman" w:hAnsi="Arial" w:cs="Arial"/>
                <w:sz w:val="14"/>
                <w:szCs w:val="14"/>
              </w:rPr>
              <w:t xml:space="preserve"> </w:t>
            </w:r>
          </w:p>
          <w:p w:rsidR="00C342CD" w:rsidRPr="00C342CD" w:rsidRDefault="00C342CD" w:rsidP="00C342CD">
            <w:pPr>
              <w:spacing w:before="200"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where:</w:t>
            </w:r>
          </w:p>
          <w:p w:rsidR="00C342CD" w:rsidRPr="00C342CD" w:rsidRDefault="00C342CD" w:rsidP="00C342CD">
            <w:pPr>
              <w:spacing w:before="200" w:after="100" w:line="240" w:lineRule="auto"/>
              <w:ind w:left="960" w:hanging="960"/>
              <w:jc w:val="center"/>
              <w:rPr>
                <w:rFonts w:ascii="Arial" w:eastAsia="Times New Roman" w:hAnsi="Arial" w:cs="Arial"/>
                <w:sz w:val="13"/>
                <w:szCs w:val="13"/>
              </w:rPr>
            </w:pPr>
            <w:r w:rsidRPr="00C342CD">
              <w:rPr>
                <w:rFonts w:ascii="Arial" w:eastAsia="Times New Roman" w:hAnsi="Arial" w:cs="Arial"/>
                <w:sz w:val="13"/>
                <w:szCs w:val="13"/>
              </w:rPr>
              <w:t>H</w:t>
            </w:r>
            <w:r w:rsidRPr="00C342CD">
              <w:rPr>
                <w:rFonts w:ascii="Arial" w:eastAsia="Times New Roman" w:hAnsi="Arial" w:cs="Arial"/>
                <w:sz w:val="9"/>
                <w:szCs w:val="9"/>
                <w:vertAlign w:val="subscript"/>
              </w:rPr>
              <w:t>T</w:t>
            </w:r>
            <w:r w:rsidRPr="00C342CD">
              <w:rPr>
                <w:rFonts w:ascii="Arial" w:eastAsia="Times New Roman" w:hAnsi="Arial" w:cs="Arial"/>
                <w:sz w:val="13"/>
                <w:szCs w:val="13"/>
              </w:rPr>
              <w:t xml:space="preserve"> =Net heating value of the sample, MJ/scm; where the net enthalpy per mole of offgas is based on combustion at 25 °C and 760 mm Hg, but the standard temperature for determining the volume corresponding to one mole is 20 °C;</w:t>
            </w:r>
          </w:p>
          <w:p w:rsidR="00C342CD" w:rsidRPr="00C342CD" w:rsidRDefault="00C342CD" w:rsidP="00C342CD">
            <w:pPr>
              <w:spacing w:after="0" w:line="240" w:lineRule="auto"/>
              <w:jc w:val="center"/>
              <w:rPr>
                <w:rFonts w:ascii="Arial" w:eastAsia="Times New Roman" w:hAnsi="Arial" w:cs="Arial"/>
                <w:sz w:val="13"/>
                <w:szCs w:val="13"/>
              </w:rPr>
            </w:pPr>
            <w:r>
              <w:rPr>
                <w:rFonts w:ascii="Arial" w:eastAsia="Times New Roman" w:hAnsi="Arial" w:cs="Arial"/>
                <w:noProof/>
                <w:sz w:val="13"/>
                <w:szCs w:val="13"/>
              </w:rPr>
              <w:drawing>
                <wp:inline distT="0" distB="0" distL="0" distR="0">
                  <wp:extent cx="3379470" cy="582930"/>
                  <wp:effectExtent l="19050" t="0" r="0" b="0"/>
                  <wp:docPr id="21" name="Picture 21" descr="eCFR graphic ec01jn92.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eCFR graphic ec01jn92.009.gif"/>
                          <pic:cNvPicPr>
                            <a:picLocks noChangeAspect="1" noChangeArrowheads="1"/>
                          </pic:cNvPicPr>
                        </pic:nvPicPr>
                        <pic:blipFill>
                          <a:blip r:embed="rId9" cstate="print"/>
                          <a:srcRect/>
                          <a:stretch>
                            <a:fillRect/>
                          </a:stretch>
                        </pic:blipFill>
                        <pic:spPr bwMode="auto">
                          <a:xfrm>
                            <a:off x="0" y="0"/>
                            <a:ext cx="3379470" cy="582930"/>
                          </a:xfrm>
                          <a:prstGeom prst="rect">
                            <a:avLst/>
                          </a:prstGeom>
                          <a:noFill/>
                          <a:ln w="9525">
                            <a:noFill/>
                            <a:miter lim="800000"/>
                            <a:headEnd/>
                            <a:tailEnd/>
                          </a:ln>
                        </pic:spPr>
                      </pic:pic>
                    </a:graphicData>
                  </a:graphic>
                </wp:inline>
              </w:drawing>
            </w:r>
          </w:p>
          <w:p w:rsidR="00C342CD" w:rsidRPr="00C342CD" w:rsidRDefault="0051487C" w:rsidP="00C342CD">
            <w:pPr>
              <w:spacing w:before="100" w:beforeAutospacing="1" w:after="100" w:afterAutospacing="1" w:line="240" w:lineRule="auto"/>
              <w:ind w:firstLine="480"/>
              <w:jc w:val="center"/>
              <w:rPr>
                <w:rFonts w:ascii="Arial" w:eastAsia="Times New Roman" w:hAnsi="Arial" w:cs="Arial"/>
                <w:sz w:val="13"/>
                <w:szCs w:val="13"/>
              </w:rPr>
            </w:pPr>
            <w:hyperlink r:id="rId10" w:history="1">
              <w:r w:rsidR="00C342CD" w:rsidRPr="00C342CD">
                <w:rPr>
                  <w:rFonts w:ascii="Arial" w:eastAsia="Times New Roman" w:hAnsi="Arial" w:cs="Arial"/>
                  <w:color w:val="0000FF"/>
                  <w:sz w:val="12"/>
                </w:rPr>
                <w:t>View or download PDF</w:t>
              </w:r>
            </w:hyperlink>
            <w:r w:rsidR="00C342CD" w:rsidRPr="00C342CD">
              <w:rPr>
                <w:rFonts w:ascii="Arial" w:eastAsia="Times New Roman" w:hAnsi="Arial" w:cs="Arial"/>
                <w:sz w:val="13"/>
                <w:szCs w:val="13"/>
              </w:rPr>
              <w:t xml:space="preserve"> </w:t>
            </w:r>
          </w:p>
          <w:p w:rsidR="00C342CD" w:rsidRPr="00C342CD" w:rsidRDefault="00C342CD" w:rsidP="00C342CD">
            <w:pPr>
              <w:spacing w:before="200" w:after="100" w:line="240" w:lineRule="auto"/>
              <w:ind w:left="960" w:hanging="960"/>
              <w:jc w:val="center"/>
              <w:rPr>
                <w:rFonts w:ascii="Arial" w:eastAsia="Times New Roman" w:hAnsi="Arial" w:cs="Arial"/>
                <w:sz w:val="13"/>
                <w:szCs w:val="13"/>
              </w:rPr>
            </w:pPr>
            <w:r w:rsidRPr="00C342CD">
              <w:rPr>
                <w:rFonts w:ascii="Arial" w:eastAsia="Times New Roman" w:hAnsi="Arial" w:cs="Arial"/>
                <w:sz w:val="13"/>
                <w:szCs w:val="13"/>
              </w:rPr>
              <w:t>C</w:t>
            </w:r>
            <w:r w:rsidRPr="00C342CD">
              <w:rPr>
                <w:rFonts w:ascii="Arial" w:eastAsia="Times New Roman" w:hAnsi="Arial" w:cs="Arial"/>
                <w:sz w:val="9"/>
                <w:szCs w:val="9"/>
                <w:vertAlign w:val="subscript"/>
              </w:rPr>
              <w:t>i</w:t>
            </w:r>
            <w:r w:rsidRPr="00C342CD">
              <w:rPr>
                <w:rFonts w:ascii="Arial" w:eastAsia="Times New Roman" w:hAnsi="Arial" w:cs="Arial"/>
                <w:sz w:val="13"/>
                <w:szCs w:val="13"/>
              </w:rPr>
              <w:t xml:space="preserve"> =Concentration of sample component i in ppm on a wet basis, as measured for organics by Reference Method 18 and measured for hydrogen and carbon monoxide by ASTM D1946-77 or 90 (Reapproved 1994) (Incorporated by reference as specified in § 60.17); and</w:t>
            </w:r>
          </w:p>
          <w:p w:rsidR="00C342CD" w:rsidRPr="00C342CD" w:rsidRDefault="00C342CD" w:rsidP="00C342CD">
            <w:pPr>
              <w:spacing w:before="200" w:after="100" w:line="240" w:lineRule="auto"/>
              <w:ind w:left="960" w:hanging="960"/>
              <w:jc w:val="center"/>
              <w:rPr>
                <w:rFonts w:ascii="Arial" w:eastAsia="Times New Roman" w:hAnsi="Arial" w:cs="Arial"/>
                <w:sz w:val="13"/>
                <w:szCs w:val="13"/>
              </w:rPr>
            </w:pPr>
            <w:r w:rsidRPr="00C342CD">
              <w:rPr>
                <w:rFonts w:ascii="Arial" w:eastAsia="Times New Roman" w:hAnsi="Arial" w:cs="Arial"/>
                <w:sz w:val="13"/>
                <w:szCs w:val="13"/>
              </w:rPr>
              <w:t>H</w:t>
            </w:r>
            <w:r w:rsidRPr="00C342CD">
              <w:rPr>
                <w:rFonts w:ascii="Arial" w:eastAsia="Times New Roman" w:hAnsi="Arial" w:cs="Arial"/>
                <w:sz w:val="9"/>
                <w:szCs w:val="9"/>
                <w:vertAlign w:val="subscript"/>
              </w:rPr>
              <w:t>i</w:t>
            </w:r>
            <w:r w:rsidRPr="00C342CD">
              <w:rPr>
                <w:rFonts w:ascii="Arial" w:eastAsia="Times New Roman" w:hAnsi="Arial" w:cs="Arial"/>
                <w:sz w:val="13"/>
                <w:szCs w:val="13"/>
              </w:rPr>
              <w:t xml:space="preserve"> =Net heat of combustion of sample component i, kcal/g mole at 25 °C and 760 mm Hg. The heats of combustion may be determined using ASTM D2382-76 or 88 or D4809-95 (incorporated by reference as specified in § 60.17) if published values are not available or cannot be calculated.</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(4) The actual exit velocity of a flare shall be determined by dividing the volumetric flowrate (in units of standard temperature and pressure), as determined by Reference Methods 2, 2A, 2C, or 2D as appropriate; by the unobstructed (free) cross sectional area of the flare tip.</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(5) The maximum permitted velocity, </w:t>
            </w:r>
            <w:proofErr w:type="gramStart"/>
            <w:r w:rsidRPr="00C342CD">
              <w:rPr>
                <w:rFonts w:ascii="Arial" w:eastAsia="Times New Roman" w:hAnsi="Arial" w:cs="Arial"/>
                <w:sz w:val="14"/>
                <w:szCs w:val="14"/>
              </w:rPr>
              <w:t>V</w:t>
            </w:r>
            <w:r w:rsidRPr="00C342CD">
              <w:rPr>
                <w:rFonts w:ascii="Arial" w:eastAsia="Times New Roman" w:hAnsi="Arial" w:cs="Arial"/>
                <w:sz w:val="10"/>
                <w:szCs w:val="10"/>
                <w:vertAlign w:val="subscript"/>
              </w:rPr>
              <w:t>max</w:t>
            </w:r>
            <w:r w:rsidRPr="00C342CD">
              <w:rPr>
                <w:rFonts w:ascii="Arial" w:eastAsia="Times New Roman" w:hAnsi="Arial" w:cs="Arial"/>
                <w:sz w:val="14"/>
                <w:szCs w:val="14"/>
              </w:rPr>
              <w:t xml:space="preserve"> ,</w:t>
            </w:r>
            <w:proofErr w:type="gramEnd"/>
            <w:r w:rsidRPr="00C342CD">
              <w:rPr>
                <w:rFonts w:ascii="Arial" w:eastAsia="Times New Roman" w:hAnsi="Arial" w:cs="Arial"/>
                <w:sz w:val="14"/>
                <w:szCs w:val="14"/>
              </w:rPr>
              <w:t xml:space="preserve"> for flares complying with paragraph (c)(4)(iii) shall be determined by the following equation.</w:t>
            </w:r>
          </w:p>
          <w:p w:rsidR="00C342CD" w:rsidRPr="00C342CD" w:rsidRDefault="00C342CD" w:rsidP="00C342CD">
            <w:pPr>
              <w:spacing w:before="200" w:after="100" w:line="240" w:lineRule="auto"/>
              <w:ind w:left="960" w:hanging="960"/>
              <w:jc w:val="center"/>
              <w:rPr>
                <w:rFonts w:ascii="Arial" w:eastAsia="Times New Roman" w:hAnsi="Arial" w:cs="Arial"/>
                <w:sz w:val="13"/>
                <w:szCs w:val="13"/>
              </w:rPr>
            </w:pPr>
            <w:r w:rsidRPr="00C342CD">
              <w:rPr>
                <w:rFonts w:ascii="Arial" w:eastAsia="Times New Roman" w:hAnsi="Arial" w:cs="Arial"/>
                <w:sz w:val="13"/>
                <w:szCs w:val="13"/>
              </w:rPr>
              <w:t>Log</w:t>
            </w:r>
            <w:r w:rsidRPr="00C342CD">
              <w:rPr>
                <w:rFonts w:ascii="Arial" w:eastAsia="Times New Roman" w:hAnsi="Arial" w:cs="Arial"/>
                <w:sz w:val="9"/>
                <w:szCs w:val="9"/>
                <w:vertAlign w:val="subscript"/>
              </w:rPr>
              <w:t>10</w:t>
            </w:r>
            <w:r w:rsidRPr="00C342CD">
              <w:rPr>
                <w:rFonts w:ascii="Arial" w:eastAsia="Times New Roman" w:hAnsi="Arial" w:cs="Arial"/>
                <w:sz w:val="13"/>
                <w:szCs w:val="13"/>
              </w:rPr>
              <w:t xml:space="preserve"> (V</w:t>
            </w:r>
            <w:r w:rsidRPr="00C342CD">
              <w:rPr>
                <w:rFonts w:ascii="Arial" w:eastAsia="Times New Roman" w:hAnsi="Arial" w:cs="Arial"/>
                <w:sz w:val="9"/>
                <w:szCs w:val="9"/>
                <w:vertAlign w:val="subscript"/>
              </w:rPr>
              <w:t>max</w:t>
            </w:r>
            <w:r w:rsidRPr="00C342CD">
              <w:rPr>
                <w:rFonts w:ascii="Arial" w:eastAsia="Times New Roman" w:hAnsi="Arial" w:cs="Arial"/>
                <w:sz w:val="13"/>
                <w:szCs w:val="13"/>
              </w:rPr>
              <w:t xml:space="preserve"> )=(H</w:t>
            </w:r>
            <w:r w:rsidRPr="00C342CD">
              <w:rPr>
                <w:rFonts w:ascii="Arial" w:eastAsia="Times New Roman" w:hAnsi="Arial" w:cs="Arial"/>
                <w:sz w:val="9"/>
                <w:szCs w:val="9"/>
                <w:vertAlign w:val="subscript"/>
              </w:rPr>
              <w:t>T</w:t>
            </w:r>
            <w:r w:rsidRPr="00C342CD">
              <w:rPr>
                <w:rFonts w:ascii="Arial" w:eastAsia="Times New Roman" w:hAnsi="Arial" w:cs="Arial"/>
                <w:sz w:val="13"/>
                <w:szCs w:val="13"/>
              </w:rPr>
              <w:t xml:space="preserve"> +28.8)/31.7</w:t>
            </w:r>
          </w:p>
          <w:p w:rsidR="00C342CD" w:rsidRPr="00C342CD" w:rsidRDefault="00C342CD" w:rsidP="00C342CD">
            <w:pPr>
              <w:spacing w:before="200" w:after="100" w:line="240" w:lineRule="auto"/>
              <w:ind w:left="960" w:hanging="960"/>
              <w:jc w:val="center"/>
              <w:rPr>
                <w:rFonts w:ascii="Arial" w:eastAsia="Times New Roman" w:hAnsi="Arial" w:cs="Arial"/>
                <w:sz w:val="13"/>
                <w:szCs w:val="13"/>
              </w:rPr>
            </w:pPr>
            <w:r w:rsidRPr="00C342CD">
              <w:rPr>
                <w:rFonts w:ascii="Arial" w:eastAsia="Times New Roman" w:hAnsi="Arial" w:cs="Arial"/>
                <w:sz w:val="13"/>
                <w:szCs w:val="13"/>
              </w:rPr>
              <w:t>V</w:t>
            </w:r>
            <w:r w:rsidRPr="00C342CD">
              <w:rPr>
                <w:rFonts w:ascii="Arial" w:eastAsia="Times New Roman" w:hAnsi="Arial" w:cs="Arial"/>
                <w:sz w:val="9"/>
                <w:szCs w:val="9"/>
                <w:vertAlign w:val="subscript"/>
              </w:rPr>
              <w:t>max</w:t>
            </w:r>
            <w:r w:rsidRPr="00C342CD">
              <w:rPr>
                <w:rFonts w:ascii="Arial" w:eastAsia="Times New Roman" w:hAnsi="Arial" w:cs="Arial"/>
                <w:sz w:val="13"/>
                <w:szCs w:val="13"/>
              </w:rPr>
              <w:t xml:space="preserve"> =Maximum permitted velocity, M/sec</w:t>
            </w:r>
          </w:p>
          <w:p w:rsidR="00C342CD" w:rsidRPr="00C342CD" w:rsidRDefault="00C342CD" w:rsidP="00C342CD">
            <w:pPr>
              <w:spacing w:before="200" w:after="100" w:line="240" w:lineRule="auto"/>
              <w:ind w:left="960" w:hanging="960"/>
              <w:jc w:val="center"/>
              <w:rPr>
                <w:rFonts w:ascii="Arial" w:eastAsia="Times New Roman" w:hAnsi="Arial" w:cs="Arial"/>
                <w:sz w:val="13"/>
                <w:szCs w:val="13"/>
              </w:rPr>
            </w:pPr>
            <w:r w:rsidRPr="00C342CD">
              <w:rPr>
                <w:rFonts w:ascii="Arial" w:eastAsia="Times New Roman" w:hAnsi="Arial" w:cs="Arial"/>
                <w:sz w:val="13"/>
                <w:szCs w:val="13"/>
              </w:rPr>
              <w:t>28.8=Constant</w:t>
            </w:r>
          </w:p>
          <w:p w:rsidR="00C342CD" w:rsidRPr="00C342CD" w:rsidRDefault="00C342CD" w:rsidP="00C342CD">
            <w:pPr>
              <w:spacing w:before="200" w:after="100" w:line="240" w:lineRule="auto"/>
              <w:ind w:left="960" w:hanging="960"/>
              <w:jc w:val="center"/>
              <w:rPr>
                <w:rFonts w:ascii="Arial" w:eastAsia="Times New Roman" w:hAnsi="Arial" w:cs="Arial"/>
                <w:sz w:val="13"/>
                <w:szCs w:val="13"/>
              </w:rPr>
            </w:pPr>
            <w:r w:rsidRPr="00C342CD">
              <w:rPr>
                <w:rFonts w:ascii="Arial" w:eastAsia="Times New Roman" w:hAnsi="Arial" w:cs="Arial"/>
                <w:sz w:val="13"/>
                <w:szCs w:val="13"/>
              </w:rPr>
              <w:t>31.7=Constant</w:t>
            </w:r>
          </w:p>
          <w:p w:rsidR="00C342CD" w:rsidRPr="00C342CD" w:rsidRDefault="00C342CD" w:rsidP="00C342CD">
            <w:pPr>
              <w:spacing w:before="200" w:after="100" w:line="240" w:lineRule="auto"/>
              <w:ind w:left="960" w:hanging="960"/>
              <w:jc w:val="center"/>
              <w:rPr>
                <w:rFonts w:ascii="Arial" w:eastAsia="Times New Roman" w:hAnsi="Arial" w:cs="Arial"/>
                <w:sz w:val="13"/>
                <w:szCs w:val="13"/>
              </w:rPr>
            </w:pPr>
            <w:r w:rsidRPr="00C342CD">
              <w:rPr>
                <w:rFonts w:ascii="Arial" w:eastAsia="Times New Roman" w:hAnsi="Arial" w:cs="Arial"/>
                <w:sz w:val="13"/>
                <w:szCs w:val="13"/>
              </w:rPr>
              <w:t>H</w:t>
            </w:r>
            <w:r w:rsidRPr="00C342CD">
              <w:rPr>
                <w:rFonts w:ascii="Arial" w:eastAsia="Times New Roman" w:hAnsi="Arial" w:cs="Arial"/>
                <w:sz w:val="9"/>
                <w:szCs w:val="9"/>
                <w:vertAlign w:val="subscript"/>
              </w:rPr>
              <w:t>T</w:t>
            </w:r>
            <w:r w:rsidRPr="00C342CD">
              <w:rPr>
                <w:rFonts w:ascii="Arial" w:eastAsia="Times New Roman" w:hAnsi="Arial" w:cs="Arial"/>
                <w:sz w:val="13"/>
                <w:szCs w:val="13"/>
              </w:rPr>
              <w:t xml:space="preserve"> =The net heating value as determined in paragraph (f</w:t>
            </w:r>
            <w:proofErr w:type="gramStart"/>
            <w:r w:rsidRPr="00C342CD">
              <w:rPr>
                <w:rFonts w:ascii="Arial" w:eastAsia="Times New Roman" w:hAnsi="Arial" w:cs="Arial"/>
                <w:sz w:val="13"/>
                <w:szCs w:val="13"/>
              </w:rPr>
              <w:t>)(</w:t>
            </w:r>
            <w:proofErr w:type="gramEnd"/>
            <w:r w:rsidRPr="00C342CD">
              <w:rPr>
                <w:rFonts w:ascii="Arial" w:eastAsia="Times New Roman" w:hAnsi="Arial" w:cs="Arial"/>
                <w:sz w:val="13"/>
                <w:szCs w:val="13"/>
              </w:rPr>
              <w:t>3).</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(6) The maximum permitted velocity, </w:t>
            </w:r>
            <w:proofErr w:type="gramStart"/>
            <w:r w:rsidRPr="00C342CD">
              <w:rPr>
                <w:rFonts w:ascii="Arial" w:eastAsia="Times New Roman" w:hAnsi="Arial" w:cs="Arial"/>
                <w:sz w:val="14"/>
                <w:szCs w:val="14"/>
              </w:rPr>
              <w:t>V</w:t>
            </w:r>
            <w:r w:rsidRPr="00C342CD">
              <w:rPr>
                <w:rFonts w:ascii="Arial" w:eastAsia="Times New Roman" w:hAnsi="Arial" w:cs="Arial"/>
                <w:sz w:val="10"/>
                <w:szCs w:val="10"/>
                <w:vertAlign w:val="subscript"/>
              </w:rPr>
              <w:t>max</w:t>
            </w:r>
            <w:r w:rsidRPr="00C342CD">
              <w:rPr>
                <w:rFonts w:ascii="Arial" w:eastAsia="Times New Roman" w:hAnsi="Arial" w:cs="Arial"/>
                <w:sz w:val="14"/>
                <w:szCs w:val="14"/>
              </w:rPr>
              <w:t xml:space="preserve"> ,</w:t>
            </w:r>
            <w:proofErr w:type="gramEnd"/>
            <w:r w:rsidRPr="00C342CD">
              <w:rPr>
                <w:rFonts w:ascii="Arial" w:eastAsia="Times New Roman" w:hAnsi="Arial" w:cs="Arial"/>
                <w:sz w:val="14"/>
                <w:szCs w:val="14"/>
              </w:rPr>
              <w:t xml:space="preserve"> for air-assisted flares shall be determined by the following equation.</w:t>
            </w:r>
          </w:p>
          <w:p w:rsidR="00C342CD" w:rsidRPr="00C342CD" w:rsidRDefault="00C342CD" w:rsidP="00C342CD">
            <w:pPr>
              <w:spacing w:before="200" w:after="100" w:line="240" w:lineRule="auto"/>
              <w:ind w:left="960" w:hanging="960"/>
              <w:jc w:val="center"/>
              <w:rPr>
                <w:rFonts w:ascii="Arial" w:eastAsia="Times New Roman" w:hAnsi="Arial" w:cs="Arial"/>
                <w:sz w:val="13"/>
                <w:szCs w:val="13"/>
              </w:rPr>
            </w:pPr>
            <w:r w:rsidRPr="00C342CD">
              <w:rPr>
                <w:rFonts w:ascii="Arial" w:eastAsia="Times New Roman" w:hAnsi="Arial" w:cs="Arial"/>
                <w:sz w:val="13"/>
                <w:szCs w:val="13"/>
              </w:rPr>
              <w:t>V</w:t>
            </w:r>
            <w:r w:rsidRPr="00C342CD">
              <w:rPr>
                <w:rFonts w:ascii="Arial" w:eastAsia="Times New Roman" w:hAnsi="Arial" w:cs="Arial"/>
                <w:sz w:val="9"/>
                <w:szCs w:val="9"/>
                <w:vertAlign w:val="subscript"/>
              </w:rPr>
              <w:t>max</w:t>
            </w:r>
            <w:r w:rsidRPr="00C342CD">
              <w:rPr>
                <w:rFonts w:ascii="Arial" w:eastAsia="Times New Roman" w:hAnsi="Arial" w:cs="Arial"/>
                <w:sz w:val="13"/>
                <w:szCs w:val="13"/>
              </w:rPr>
              <w:t xml:space="preserve"> =8.706+0.7084 (H</w:t>
            </w:r>
            <w:r w:rsidRPr="00C342CD">
              <w:rPr>
                <w:rFonts w:ascii="Arial" w:eastAsia="Times New Roman" w:hAnsi="Arial" w:cs="Arial"/>
                <w:sz w:val="9"/>
                <w:szCs w:val="9"/>
                <w:vertAlign w:val="subscript"/>
              </w:rPr>
              <w:t>T</w:t>
            </w:r>
            <w:r w:rsidRPr="00C342CD">
              <w:rPr>
                <w:rFonts w:ascii="Arial" w:eastAsia="Times New Roman" w:hAnsi="Arial" w:cs="Arial"/>
                <w:sz w:val="13"/>
                <w:szCs w:val="13"/>
              </w:rPr>
              <w:t xml:space="preserve"> )</w:t>
            </w:r>
          </w:p>
          <w:p w:rsidR="00C342CD" w:rsidRPr="00C342CD" w:rsidRDefault="00C342CD" w:rsidP="00C342CD">
            <w:pPr>
              <w:spacing w:before="200" w:after="100" w:line="240" w:lineRule="auto"/>
              <w:ind w:left="960" w:hanging="960"/>
              <w:jc w:val="center"/>
              <w:rPr>
                <w:rFonts w:ascii="Arial" w:eastAsia="Times New Roman" w:hAnsi="Arial" w:cs="Arial"/>
                <w:sz w:val="13"/>
                <w:szCs w:val="13"/>
              </w:rPr>
            </w:pPr>
            <w:r w:rsidRPr="00C342CD">
              <w:rPr>
                <w:rFonts w:ascii="Arial" w:eastAsia="Times New Roman" w:hAnsi="Arial" w:cs="Arial"/>
                <w:sz w:val="13"/>
                <w:szCs w:val="13"/>
              </w:rPr>
              <w:t>V</w:t>
            </w:r>
            <w:r w:rsidRPr="00C342CD">
              <w:rPr>
                <w:rFonts w:ascii="Arial" w:eastAsia="Times New Roman" w:hAnsi="Arial" w:cs="Arial"/>
                <w:sz w:val="9"/>
                <w:szCs w:val="9"/>
                <w:vertAlign w:val="subscript"/>
              </w:rPr>
              <w:t>max</w:t>
            </w:r>
            <w:r w:rsidRPr="00C342CD">
              <w:rPr>
                <w:rFonts w:ascii="Arial" w:eastAsia="Times New Roman" w:hAnsi="Arial" w:cs="Arial"/>
                <w:sz w:val="13"/>
                <w:szCs w:val="13"/>
              </w:rPr>
              <w:t xml:space="preserve"> =Maximum permitted velocity, m/sec</w:t>
            </w:r>
          </w:p>
          <w:p w:rsidR="00C342CD" w:rsidRPr="00C342CD" w:rsidRDefault="00C342CD" w:rsidP="00C342CD">
            <w:pPr>
              <w:spacing w:before="200" w:after="100" w:line="240" w:lineRule="auto"/>
              <w:ind w:left="960" w:hanging="960"/>
              <w:jc w:val="center"/>
              <w:rPr>
                <w:rFonts w:ascii="Arial" w:eastAsia="Times New Roman" w:hAnsi="Arial" w:cs="Arial"/>
                <w:sz w:val="13"/>
                <w:szCs w:val="13"/>
              </w:rPr>
            </w:pPr>
            <w:r w:rsidRPr="00C342CD">
              <w:rPr>
                <w:rFonts w:ascii="Arial" w:eastAsia="Times New Roman" w:hAnsi="Arial" w:cs="Arial"/>
                <w:sz w:val="13"/>
                <w:szCs w:val="13"/>
              </w:rPr>
              <w:t>8.706=Constant</w:t>
            </w:r>
          </w:p>
          <w:p w:rsidR="00C342CD" w:rsidRPr="00C342CD" w:rsidRDefault="00C342CD" w:rsidP="00C342CD">
            <w:pPr>
              <w:spacing w:before="200" w:after="100" w:line="240" w:lineRule="auto"/>
              <w:ind w:left="960" w:hanging="960"/>
              <w:jc w:val="center"/>
              <w:rPr>
                <w:rFonts w:ascii="Arial" w:eastAsia="Times New Roman" w:hAnsi="Arial" w:cs="Arial"/>
                <w:sz w:val="13"/>
                <w:szCs w:val="13"/>
              </w:rPr>
            </w:pPr>
            <w:r w:rsidRPr="00C342CD">
              <w:rPr>
                <w:rFonts w:ascii="Arial" w:eastAsia="Times New Roman" w:hAnsi="Arial" w:cs="Arial"/>
                <w:sz w:val="13"/>
                <w:szCs w:val="13"/>
              </w:rPr>
              <w:t>0.7084=Constant</w:t>
            </w:r>
          </w:p>
          <w:p w:rsidR="00C342CD" w:rsidRPr="00C342CD" w:rsidRDefault="00C342CD" w:rsidP="00C342CD">
            <w:pPr>
              <w:spacing w:before="200" w:after="100" w:line="240" w:lineRule="auto"/>
              <w:ind w:left="960" w:hanging="960"/>
              <w:jc w:val="center"/>
              <w:rPr>
                <w:rFonts w:ascii="Arial" w:eastAsia="Times New Roman" w:hAnsi="Arial" w:cs="Arial"/>
                <w:sz w:val="13"/>
                <w:szCs w:val="13"/>
              </w:rPr>
            </w:pPr>
            <w:r w:rsidRPr="00C342CD">
              <w:rPr>
                <w:rFonts w:ascii="Arial" w:eastAsia="Times New Roman" w:hAnsi="Arial" w:cs="Arial"/>
                <w:sz w:val="13"/>
                <w:szCs w:val="13"/>
              </w:rPr>
              <w:t>H</w:t>
            </w:r>
            <w:r w:rsidRPr="00C342CD">
              <w:rPr>
                <w:rFonts w:ascii="Arial" w:eastAsia="Times New Roman" w:hAnsi="Arial" w:cs="Arial"/>
                <w:sz w:val="9"/>
                <w:szCs w:val="9"/>
                <w:vertAlign w:val="subscript"/>
              </w:rPr>
              <w:t>T</w:t>
            </w:r>
            <w:r w:rsidRPr="00C342CD">
              <w:rPr>
                <w:rFonts w:ascii="Arial" w:eastAsia="Times New Roman" w:hAnsi="Arial" w:cs="Arial"/>
                <w:sz w:val="13"/>
                <w:szCs w:val="13"/>
              </w:rPr>
              <w:t xml:space="preserve"> =The net heating value as determined in paragraph (f</w:t>
            </w:r>
            <w:proofErr w:type="gramStart"/>
            <w:r w:rsidRPr="00C342CD">
              <w:rPr>
                <w:rFonts w:ascii="Arial" w:eastAsia="Times New Roman" w:hAnsi="Arial" w:cs="Arial"/>
                <w:sz w:val="13"/>
                <w:szCs w:val="13"/>
              </w:rPr>
              <w:t>)(</w:t>
            </w:r>
            <w:proofErr w:type="gramEnd"/>
            <w:r w:rsidRPr="00C342CD">
              <w:rPr>
                <w:rFonts w:ascii="Arial" w:eastAsia="Times New Roman" w:hAnsi="Arial" w:cs="Arial"/>
                <w:sz w:val="13"/>
                <w:szCs w:val="13"/>
              </w:rPr>
              <w:t>3).</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(g) </w:t>
            </w:r>
            <w:r w:rsidRPr="00C342CD">
              <w:rPr>
                <w:rFonts w:ascii="Arial" w:eastAsia="Times New Roman" w:hAnsi="Arial" w:cs="Arial"/>
                <w:i/>
                <w:iCs/>
                <w:sz w:val="14"/>
                <w:szCs w:val="14"/>
              </w:rPr>
              <w:t>Alternative work practice for monitoring equipment for leaks.</w:t>
            </w:r>
            <w:r w:rsidRPr="00C342CD">
              <w:rPr>
                <w:rFonts w:ascii="Arial" w:eastAsia="Times New Roman" w:hAnsi="Arial" w:cs="Arial"/>
                <w:sz w:val="14"/>
                <w:szCs w:val="14"/>
              </w:rPr>
              <w:t xml:space="preserve"> Paragraphs (g), (h), and (i) of this section apply to all equipment for which the applicable subpart requires monitoring with a 40 CFR part 60, Appendix A-7, Method 21 monitor, except for closed vent systems, equipment designated as leakless, and equipment identified in the applicable subpart as having no detectable emissions, as indicated by an instrument reading of less than 500 ppm above background. An owner or operator may use an optical gas imaging instrument instead of a 40 CFR part 60, Appendix A-7, Method 21 monitor. Requirements in the existing subparts that are specific to the Method 21 instrument do not apply under this section. All other requirements in the applicable subpart that are not addressed in paragraphs (g), (h), and (i) of this section apply to this standard. For example, </w:t>
            </w:r>
            <w:r w:rsidRPr="00C342CD">
              <w:rPr>
                <w:rFonts w:ascii="Arial" w:eastAsia="Times New Roman" w:hAnsi="Arial" w:cs="Arial"/>
                <w:sz w:val="14"/>
                <w:szCs w:val="14"/>
              </w:rPr>
              <w:lastRenderedPageBreak/>
              <w:t>equipment specification requirements, and non-Method 21 instrument recordkeeping and reporting requirements in the applicable subpart continue to apply. The terms defined in paragraphs (g</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1) through (5) of this section have meanings that are specific to the alternative work practice standard in paragraphs (g), (h), and (i) of this section.</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(1) </w:t>
            </w:r>
            <w:r w:rsidRPr="00C342CD">
              <w:rPr>
                <w:rFonts w:ascii="Arial" w:eastAsia="Times New Roman" w:hAnsi="Arial" w:cs="Arial"/>
                <w:i/>
                <w:iCs/>
                <w:sz w:val="14"/>
                <w:szCs w:val="14"/>
              </w:rPr>
              <w:t>Applicable subpart</w:t>
            </w:r>
            <w:r w:rsidRPr="00C342CD">
              <w:rPr>
                <w:rFonts w:ascii="Arial" w:eastAsia="Times New Roman" w:hAnsi="Arial" w:cs="Arial"/>
                <w:sz w:val="14"/>
                <w:szCs w:val="14"/>
              </w:rPr>
              <w:t xml:space="preserve"> means the subpart in 40 CFR parts 60, 61, 63, or 65 that requires monitoring of equipment with a 40 CFR part 60, Appendix A-7, Method 21 monitor.</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(2) </w:t>
            </w:r>
            <w:r w:rsidRPr="00C342CD">
              <w:rPr>
                <w:rFonts w:ascii="Arial" w:eastAsia="Times New Roman" w:hAnsi="Arial" w:cs="Arial"/>
                <w:i/>
                <w:iCs/>
                <w:sz w:val="14"/>
                <w:szCs w:val="14"/>
              </w:rPr>
              <w:t>Equipment</w:t>
            </w:r>
            <w:r w:rsidRPr="00C342CD">
              <w:rPr>
                <w:rFonts w:ascii="Arial" w:eastAsia="Times New Roman" w:hAnsi="Arial" w:cs="Arial"/>
                <w:sz w:val="14"/>
                <w:szCs w:val="14"/>
              </w:rPr>
              <w:t xml:space="preserve"> means pumps, valves, pressure relief valves, compressors, open-ended lines, flanges, connectors, and other equipment covered by the applicable subpart that require monitoring with a 40 CFR part 60, Appendix A-7, Method 21 monitor.</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(3) </w:t>
            </w:r>
            <w:r w:rsidRPr="00C342CD">
              <w:rPr>
                <w:rFonts w:ascii="Arial" w:eastAsia="Times New Roman" w:hAnsi="Arial" w:cs="Arial"/>
                <w:i/>
                <w:iCs/>
                <w:sz w:val="14"/>
                <w:szCs w:val="14"/>
              </w:rPr>
              <w:t>Imaging</w:t>
            </w:r>
            <w:r w:rsidRPr="00C342CD">
              <w:rPr>
                <w:rFonts w:ascii="Arial" w:eastAsia="Times New Roman" w:hAnsi="Arial" w:cs="Arial"/>
                <w:sz w:val="14"/>
                <w:szCs w:val="14"/>
              </w:rPr>
              <w:t xml:space="preserve"> means making visible emissions that may otherwise be invisible to the naked eye.</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(4) </w:t>
            </w:r>
            <w:r w:rsidRPr="00C342CD">
              <w:rPr>
                <w:rFonts w:ascii="Arial" w:eastAsia="Times New Roman" w:hAnsi="Arial" w:cs="Arial"/>
                <w:i/>
                <w:iCs/>
                <w:sz w:val="14"/>
                <w:szCs w:val="14"/>
              </w:rPr>
              <w:t>Optical gas imaging instrument</w:t>
            </w:r>
            <w:r w:rsidRPr="00C342CD">
              <w:rPr>
                <w:rFonts w:ascii="Arial" w:eastAsia="Times New Roman" w:hAnsi="Arial" w:cs="Arial"/>
                <w:sz w:val="14"/>
                <w:szCs w:val="14"/>
              </w:rPr>
              <w:t xml:space="preserve"> means an instrument that makes visible emissions that may otherwise be invisible to the naked eye.</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(5) </w:t>
            </w:r>
            <w:r w:rsidRPr="00C342CD">
              <w:rPr>
                <w:rFonts w:ascii="Arial" w:eastAsia="Times New Roman" w:hAnsi="Arial" w:cs="Arial"/>
                <w:i/>
                <w:iCs/>
                <w:sz w:val="14"/>
                <w:szCs w:val="14"/>
              </w:rPr>
              <w:t>Repair</w:t>
            </w:r>
            <w:r w:rsidRPr="00C342CD">
              <w:rPr>
                <w:rFonts w:ascii="Arial" w:eastAsia="Times New Roman" w:hAnsi="Arial" w:cs="Arial"/>
                <w:sz w:val="14"/>
                <w:szCs w:val="14"/>
              </w:rPr>
              <w:t xml:space="preserve"> means that equipment is adjusted, or otherwise altered, in order to eliminate a leak.</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(6) </w:t>
            </w:r>
            <w:r w:rsidRPr="00C342CD">
              <w:rPr>
                <w:rFonts w:ascii="Arial" w:eastAsia="Times New Roman" w:hAnsi="Arial" w:cs="Arial"/>
                <w:i/>
                <w:iCs/>
                <w:sz w:val="14"/>
                <w:szCs w:val="14"/>
              </w:rPr>
              <w:t>Leak</w:t>
            </w:r>
            <w:r w:rsidRPr="00C342CD">
              <w:rPr>
                <w:rFonts w:ascii="Arial" w:eastAsia="Times New Roman" w:hAnsi="Arial" w:cs="Arial"/>
                <w:sz w:val="14"/>
                <w:szCs w:val="14"/>
              </w:rPr>
              <w:t xml:space="preserve"> means:</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(i) Any emissions imaged by the optical gas instrument;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(ii) Indications of liquids dripping;</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(iii) Indications by a sensor that a seal or barrier fluid system has failed; or</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(iv) Screening results using a 40 CFR part 60, Appendix A-7, Method 21 monitor that exceed the leak definition in the applicable subpart to which the equipment is subject.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(h) The alternative work practice standard for monitoring equipment for leaks is available to all subparts in 40 CFR parts 60, 61, 63, and 65 that require monitoring of equipment with a 40 CFR part 60, Appendix A-7, Method 21 monitor.</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(1) An owner or operator of an affected source subject to CFR parts 60, 61, 63, or 65 can choose to comply with the alternative work practice requirements in paragraph (i) of this section instead of using the 40 CFR </w:t>
            </w:r>
            <w:proofErr w:type="gramStart"/>
            <w:r w:rsidRPr="00C342CD">
              <w:rPr>
                <w:rFonts w:ascii="Arial" w:eastAsia="Times New Roman" w:hAnsi="Arial" w:cs="Arial"/>
                <w:sz w:val="14"/>
                <w:szCs w:val="14"/>
              </w:rPr>
              <w:t>part</w:t>
            </w:r>
            <w:proofErr w:type="gramEnd"/>
            <w:r w:rsidRPr="00C342CD">
              <w:rPr>
                <w:rFonts w:ascii="Arial" w:eastAsia="Times New Roman" w:hAnsi="Arial" w:cs="Arial"/>
                <w:sz w:val="14"/>
                <w:szCs w:val="14"/>
              </w:rPr>
              <w:t xml:space="preserve"> 60, Appendix A-7, Method 21 monitor to identify leaking equipment. The owner or operator must document the equipment, process units, and facilities for which the alternative work practice will be used to identify leaks.</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(2) Any leak detected when following the leak survey procedure in paragraph (i</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3) of this section must be identified for repair as required in the applicable subpart.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(3) If the alternative work practice is used to identify leaks, re-screening after an attempted repair of leaking equipment must be conducted using either the alternative work practice or the 40 CFR </w:t>
            </w:r>
            <w:proofErr w:type="gramStart"/>
            <w:r w:rsidRPr="00C342CD">
              <w:rPr>
                <w:rFonts w:ascii="Arial" w:eastAsia="Times New Roman" w:hAnsi="Arial" w:cs="Arial"/>
                <w:sz w:val="14"/>
                <w:szCs w:val="14"/>
              </w:rPr>
              <w:t>part</w:t>
            </w:r>
            <w:proofErr w:type="gramEnd"/>
            <w:r w:rsidRPr="00C342CD">
              <w:rPr>
                <w:rFonts w:ascii="Arial" w:eastAsia="Times New Roman" w:hAnsi="Arial" w:cs="Arial"/>
                <w:sz w:val="14"/>
                <w:szCs w:val="14"/>
              </w:rPr>
              <w:t xml:space="preserve"> 60, Appendix A-7, Method 21 monitor at the leak definition required in the applicable subpart to which the equipment is subject.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(4) The schedule for repair is as required in the applicable subpart.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(5) When this alternative work practice is used for detecting leaking equipment, choose one of the monitoring frequencies listed in Table 1 to subpart A of this part in lieu of the monitoring frequency specified for regulated equipment in the applicable subpart. Reduced monitoring frequencies for good performance are not applicable when using the alternative work practice.</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(6) When this alternative work practice is used for detecting leaking equipment the following are not applicable for the equipment being monitored:</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(i) Skip period leak detection and repair;</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(ii) Quality improvement plans; or</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(iii) Complying with standards for allowable percentage of valves and pumps to leak.</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(7) When the alternative work practice is used to detect leaking equipment, the regulated equipment in paragraph (h)(1)(i) of this section must also be monitored annually using a 40 CFR part 60, Appendix A-7, Method 21 monitor at the leak definition required in the applicable subpart. The </w:t>
            </w:r>
            <w:r w:rsidRPr="00C342CD">
              <w:rPr>
                <w:rFonts w:ascii="Arial" w:eastAsia="Times New Roman" w:hAnsi="Arial" w:cs="Arial"/>
                <w:sz w:val="14"/>
                <w:szCs w:val="14"/>
              </w:rPr>
              <w:lastRenderedPageBreak/>
              <w:t>owner or operator may choose the specific monitoring period (for example, first quarter) to conduct the annual monitoring. Subsequent monitoring must be conducted every 12 months from the initial period. Owners or operators must keep records of the annual Method 21 screening results, as specified in paragraph (i)(4)(vii) of this section.</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(i) An owner or operator of an affected source who chooses to use the alternative work practice must comply with the requirements of paragraphs (i</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1) through (i)(5) of this section.</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(1) Instrument Specifications. The optical gas imaging instrument must comply with the requirements in (i</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1)(i) and (i)(1)(ii) of this section.</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(i) Provide the operator with an image of the potential leak points for each piece of equipment at both the detection sensitivity level and within the distance used in the daily instrument check described in paragraph (i</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2) of this section. The detection sensitivity level depends upon the frequency at which leak monitoring is to be performed.</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(ii) Provide a date and time stamp for video records of every monitoring event.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(2) Daily Instrument Check. On a daily basis, and prior to beginning any leak monitoring work, test the optical gas imaging instrument at the mass flow rate determined in paragraph (i)(2)(i) of this section in accordance with the procedure specified in paragraphs (i)(2)(ii) through (i)(2)(iv) of this section for each camera configuration used during monitoring (for example, different lenses used), unless an alternative method to demonstrate daily instrument checks has been approved in accordance with paragraph (i)(2)(v) of this section.</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(i) Calculate the mass flow rate to be used in the daily instrument check by following the procedures in paragraphs (i)(2)(i)(A) and (i)(2)(i)(B) of this section.</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(A) For a specified population of equipment to be imaged by the instrument, determine the piece of equipment in contact with the lowest mass fraction of chemicals that are detectable, within the distance to be used in paragraph (i)(2)(iv)(B) of this section, at or below the standard detection sensitivity level.</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(B) Multiply the standard detection sensitivity level, corresponding to the selected monitoring frequency in Table 1 of subpart A of this part, by the mass fraction of detectable chemicals from the stream identified in paragraph (i)(2)(i)(A) of this section to determine the mass flow rate to be used in the daily instrument check, using the following equation.</w:t>
            </w:r>
          </w:p>
          <w:p w:rsidR="00C342CD" w:rsidRPr="00C342CD" w:rsidRDefault="00C342CD" w:rsidP="00C342CD">
            <w:pPr>
              <w:spacing w:after="0" w:line="240" w:lineRule="auto"/>
              <w:jc w:val="center"/>
              <w:rPr>
                <w:rFonts w:ascii="Arial" w:eastAsia="Times New Roman" w:hAnsi="Arial" w:cs="Arial"/>
                <w:sz w:val="14"/>
                <w:szCs w:val="14"/>
              </w:rPr>
            </w:pPr>
            <w:r>
              <w:rPr>
                <w:rFonts w:ascii="Arial" w:eastAsia="Times New Roman" w:hAnsi="Arial" w:cs="Arial"/>
                <w:noProof/>
                <w:sz w:val="14"/>
                <w:szCs w:val="14"/>
              </w:rPr>
              <w:drawing>
                <wp:inline distT="0" distB="0" distL="0" distR="0">
                  <wp:extent cx="821690" cy="344805"/>
                  <wp:effectExtent l="19050" t="0" r="0" b="0"/>
                  <wp:docPr id="22" name="Picture 22" descr="eCFR graphic er22de08.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eCFR graphic er22de08.007.gif"/>
                          <pic:cNvPicPr>
                            <a:picLocks noChangeAspect="1" noChangeArrowheads="1"/>
                          </pic:cNvPicPr>
                        </pic:nvPicPr>
                        <pic:blipFill>
                          <a:blip r:embed="rId11" cstate="print"/>
                          <a:srcRect/>
                          <a:stretch>
                            <a:fillRect/>
                          </a:stretch>
                        </pic:blipFill>
                        <pic:spPr bwMode="auto">
                          <a:xfrm>
                            <a:off x="0" y="0"/>
                            <a:ext cx="821690" cy="344805"/>
                          </a:xfrm>
                          <a:prstGeom prst="rect">
                            <a:avLst/>
                          </a:prstGeom>
                          <a:noFill/>
                          <a:ln w="9525">
                            <a:noFill/>
                            <a:miter lim="800000"/>
                            <a:headEnd/>
                            <a:tailEnd/>
                          </a:ln>
                        </pic:spPr>
                      </pic:pic>
                    </a:graphicData>
                  </a:graphic>
                </wp:inline>
              </w:drawing>
            </w:r>
          </w:p>
          <w:p w:rsidR="00C342CD" w:rsidRPr="00C342CD" w:rsidRDefault="00C342CD" w:rsidP="00C342CD">
            <w:pPr>
              <w:spacing w:before="200"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Where:</w:t>
            </w:r>
          </w:p>
          <w:p w:rsidR="00C342CD" w:rsidRPr="00C342CD" w:rsidRDefault="00C342CD" w:rsidP="00C342CD">
            <w:pPr>
              <w:spacing w:before="200" w:after="100" w:line="240" w:lineRule="auto"/>
              <w:ind w:left="960" w:hanging="960"/>
              <w:jc w:val="center"/>
              <w:rPr>
                <w:rFonts w:ascii="Arial" w:eastAsia="Times New Roman" w:hAnsi="Arial" w:cs="Arial"/>
                <w:sz w:val="13"/>
                <w:szCs w:val="13"/>
              </w:rPr>
            </w:pPr>
            <w:r w:rsidRPr="00C342CD">
              <w:rPr>
                <w:rFonts w:ascii="Arial" w:eastAsia="Times New Roman" w:hAnsi="Arial" w:cs="Arial"/>
                <w:sz w:val="13"/>
                <w:szCs w:val="13"/>
              </w:rPr>
              <w:t>E</w:t>
            </w:r>
            <w:r w:rsidRPr="00C342CD">
              <w:rPr>
                <w:rFonts w:ascii="Arial" w:eastAsia="Times New Roman" w:hAnsi="Arial" w:cs="Arial"/>
                <w:sz w:val="9"/>
                <w:szCs w:val="9"/>
                <w:vertAlign w:val="subscript"/>
              </w:rPr>
              <w:t>dic</w:t>
            </w:r>
            <w:r w:rsidRPr="00C342CD">
              <w:rPr>
                <w:rFonts w:ascii="Arial" w:eastAsia="Times New Roman" w:hAnsi="Arial" w:cs="Arial"/>
                <w:sz w:val="13"/>
                <w:szCs w:val="13"/>
              </w:rPr>
              <w:t xml:space="preserve"> = Mass flow rate for the daily instrument check, grams per hour</w:t>
            </w:r>
          </w:p>
          <w:p w:rsidR="00C342CD" w:rsidRPr="00C342CD" w:rsidRDefault="00C342CD" w:rsidP="00C342CD">
            <w:pPr>
              <w:spacing w:before="200" w:after="100" w:line="240" w:lineRule="auto"/>
              <w:ind w:left="960" w:hanging="960"/>
              <w:jc w:val="center"/>
              <w:rPr>
                <w:rFonts w:ascii="Arial" w:eastAsia="Times New Roman" w:hAnsi="Arial" w:cs="Arial"/>
                <w:sz w:val="13"/>
                <w:szCs w:val="13"/>
              </w:rPr>
            </w:pPr>
            <w:proofErr w:type="gramStart"/>
            <w:r w:rsidRPr="00C342CD">
              <w:rPr>
                <w:rFonts w:ascii="Arial" w:eastAsia="Times New Roman" w:hAnsi="Arial" w:cs="Arial"/>
                <w:sz w:val="13"/>
                <w:szCs w:val="13"/>
              </w:rPr>
              <w:t>x</w:t>
            </w:r>
            <w:r w:rsidRPr="00C342CD">
              <w:rPr>
                <w:rFonts w:ascii="Arial" w:eastAsia="Times New Roman" w:hAnsi="Arial" w:cs="Arial"/>
                <w:sz w:val="9"/>
                <w:szCs w:val="9"/>
                <w:vertAlign w:val="subscript"/>
              </w:rPr>
              <w:t>i</w:t>
            </w:r>
            <w:proofErr w:type="gramEnd"/>
            <w:r w:rsidRPr="00C342CD">
              <w:rPr>
                <w:rFonts w:ascii="Arial" w:eastAsia="Times New Roman" w:hAnsi="Arial" w:cs="Arial"/>
                <w:sz w:val="13"/>
                <w:szCs w:val="13"/>
              </w:rPr>
              <w:t xml:space="preserve"> = Mass fraction of detectable chemical(s) i seen by the optical gas imaging instrument, within the distance to be used in paragraph (i)(2)(iv)(B) of this section, at or below the standard detection sensitivity level, E</w:t>
            </w:r>
            <w:r w:rsidRPr="00C342CD">
              <w:rPr>
                <w:rFonts w:ascii="Arial" w:eastAsia="Times New Roman" w:hAnsi="Arial" w:cs="Arial"/>
                <w:sz w:val="9"/>
                <w:szCs w:val="9"/>
                <w:vertAlign w:val="subscript"/>
              </w:rPr>
              <w:t>sds</w:t>
            </w:r>
            <w:r w:rsidRPr="00C342CD">
              <w:rPr>
                <w:rFonts w:ascii="Arial" w:eastAsia="Times New Roman" w:hAnsi="Arial" w:cs="Arial"/>
                <w:sz w:val="13"/>
                <w:szCs w:val="13"/>
              </w:rPr>
              <w:t xml:space="preserve"> .</w:t>
            </w:r>
          </w:p>
          <w:p w:rsidR="00C342CD" w:rsidRPr="00C342CD" w:rsidRDefault="00C342CD" w:rsidP="00C342CD">
            <w:pPr>
              <w:spacing w:before="200" w:after="100" w:line="240" w:lineRule="auto"/>
              <w:ind w:left="960" w:hanging="960"/>
              <w:jc w:val="center"/>
              <w:rPr>
                <w:rFonts w:ascii="Arial" w:eastAsia="Times New Roman" w:hAnsi="Arial" w:cs="Arial"/>
                <w:sz w:val="13"/>
                <w:szCs w:val="13"/>
              </w:rPr>
            </w:pPr>
            <w:r w:rsidRPr="00C342CD">
              <w:rPr>
                <w:rFonts w:ascii="Arial" w:eastAsia="Times New Roman" w:hAnsi="Arial" w:cs="Arial"/>
                <w:sz w:val="13"/>
                <w:szCs w:val="13"/>
              </w:rPr>
              <w:t>E</w:t>
            </w:r>
            <w:r w:rsidRPr="00C342CD">
              <w:rPr>
                <w:rFonts w:ascii="Arial" w:eastAsia="Times New Roman" w:hAnsi="Arial" w:cs="Arial"/>
                <w:sz w:val="9"/>
                <w:szCs w:val="9"/>
                <w:vertAlign w:val="subscript"/>
              </w:rPr>
              <w:t>sds</w:t>
            </w:r>
            <w:r w:rsidRPr="00C342CD">
              <w:rPr>
                <w:rFonts w:ascii="Arial" w:eastAsia="Times New Roman" w:hAnsi="Arial" w:cs="Arial"/>
                <w:sz w:val="13"/>
                <w:szCs w:val="13"/>
              </w:rPr>
              <w:t xml:space="preserve"> = Standard detection sensitivity level from Table 1 to subpart A, grams per hour</w:t>
            </w:r>
          </w:p>
          <w:p w:rsidR="00C342CD" w:rsidRPr="00C342CD" w:rsidRDefault="00C342CD" w:rsidP="00C342CD">
            <w:pPr>
              <w:spacing w:before="200" w:after="100" w:line="240" w:lineRule="auto"/>
              <w:ind w:left="960" w:hanging="960"/>
              <w:jc w:val="center"/>
              <w:rPr>
                <w:rFonts w:ascii="Arial" w:eastAsia="Times New Roman" w:hAnsi="Arial" w:cs="Arial"/>
                <w:sz w:val="13"/>
                <w:szCs w:val="13"/>
              </w:rPr>
            </w:pPr>
            <w:r w:rsidRPr="00C342CD">
              <w:rPr>
                <w:rFonts w:ascii="Arial" w:eastAsia="Times New Roman" w:hAnsi="Arial" w:cs="Arial"/>
                <w:sz w:val="13"/>
                <w:szCs w:val="13"/>
              </w:rPr>
              <w:t>k = Total number of detectable chemicals emitted from the leaking equipment and seen by the optical gas imaging instrument.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(ii) Start the optical gas imaging instrument according to the manufacturer's instructions, ensuring that all appropriate settings conform to the manufacturer's instructions.</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(iii) Use any gas chosen by the user that can be viewed by the optical gas imaging instrument and that has a purity of no less than 98 percent.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(iv) Establish a mass flow rate by using the following procedures:</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(A) Provide a source of gas where it will be in the field of view of the optical gas imaging instrument.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(B) Set up the optical gas imaging instrument at a recorded distance from the outlet or leak orifice of the flow meter that will not be exceeded in the actual performance of the leak survey. Do not exceed the operating parameters of the flow meter.</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(C) Open the valve on the flow meter to set a flow rate that will create a mass emission rate equal to the mass rate specified in paragraph (i)(2)(i) of this section while observing the gas flow through the optical gas imaging instrument viewfinder. When an image of the gas emission is seen through the viewfinder at the required emission rate, make a record of the reading on the flow meter.</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lastRenderedPageBreak/>
              <w:t>(v) Repeat the procedures specified in paragraphs (i</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2)(ii) through (i)(2)(iv) of this section for each configuration of the optical gas imaging instrument used during the leak survey.</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(vi) To use an alternative method to demonstrate daily instrument checks, apply to the Administrator for approval of the alternative under § 60.13(i).</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(3) Leak Survey Procedure. Operate the optical gas imaging instrument to image every regulated piece of equipment selected for this work practice in accordance with the instrument manufacturer's operating parameters. All emissions imaged by the optical gas imaging instrument are considered to be leaks and are subject to repair. All emissions visible to the naked eye are also considered to be leaks and are subject to repair.</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(4) Recordkeeping. You must keep the records described in paragraphs (i)(4)(i) through (i)(4)(vii) of this section:</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(i) The </w:t>
            </w:r>
            <w:proofErr w:type="gramStart"/>
            <w:r w:rsidRPr="00C342CD">
              <w:rPr>
                <w:rFonts w:ascii="Arial" w:eastAsia="Times New Roman" w:hAnsi="Arial" w:cs="Arial"/>
                <w:sz w:val="14"/>
                <w:szCs w:val="14"/>
              </w:rPr>
              <w:t>equipment,</w:t>
            </w:r>
            <w:proofErr w:type="gramEnd"/>
            <w:r w:rsidRPr="00C342CD">
              <w:rPr>
                <w:rFonts w:ascii="Arial" w:eastAsia="Times New Roman" w:hAnsi="Arial" w:cs="Arial"/>
                <w:sz w:val="14"/>
                <w:szCs w:val="14"/>
              </w:rPr>
              <w:t xml:space="preserve"> processes, and facilities for which the owner or operator chooses to use the alternative work practice.</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(ii) The detection sensitivity level selected from Table 1 to subpart A of this part for the optical gas imaging instrument.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(iii) The analysis to determine the piece of equipment in contact with the lowest mass fraction of chemicals that are detectable, as specified in paragraph (i)(2)(i)(A) of this section.</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(iv) The technical basis for the mass fraction of detectable chemicals used in the equation in paragraph (i</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2)(i)(B) of this section.</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(v) The daily instrument check. Record the distance, per paragraph (i</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2)(iv)(B) of this section, and the flow meter reading, per paragraph (i)(2)(iv)(C) of this section, at which the leak was imaged. Keep a video record of the daily instrument check for each configuration of the optical gas imaging instrument used during the leak survey (for example, the daily instrument check must be conducted for each lens used). The video record must include a time and date stamp for each daily instrument check. The video record must be kept for 5 years.</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(vi) Recordkeeping requirements in the applicable subpart. A video record must be used to document the leak survey results. The video record must include a time and date stamp for each monitoring event. A video record can be used to meet the recordkeeping requirements of the applicable subparts if each piece of regulated equipment selected for this work practice can be identified in the video record. The video record must be kept for 5 years.</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(vii) The results of the annual Method 21 screening required in paragraph (h</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7) of this section. Records must be kept for all regulated equipment specified in paragraph (h</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1) of this section. Records must identify the equipment screened, the screening value measured by Method 21, the time and date of the screening, and calibration information required in the existing applicable subpart.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(5) Reporting. Submit the reports required in the applicable subpart. Submit the records of the annual Method 21 screening required in paragraph (h</w:t>
            </w:r>
            <w:proofErr w:type="gramStart"/>
            <w:r w:rsidRPr="00C342CD">
              <w:rPr>
                <w:rFonts w:ascii="Arial" w:eastAsia="Times New Roman" w:hAnsi="Arial" w:cs="Arial"/>
                <w:sz w:val="14"/>
                <w:szCs w:val="14"/>
              </w:rPr>
              <w:t>)(</w:t>
            </w:r>
            <w:proofErr w:type="gramEnd"/>
            <w:r w:rsidRPr="00C342CD">
              <w:rPr>
                <w:rFonts w:ascii="Arial" w:eastAsia="Times New Roman" w:hAnsi="Arial" w:cs="Arial"/>
                <w:sz w:val="14"/>
                <w:szCs w:val="14"/>
              </w:rPr>
              <w:t xml:space="preserve">7) of this section to the Administrator via e-mail to </w:t>
            </w:r>
            <w:r w:rsidRPr="00C342CD">
              <w:rPr>
                <w:rFonts w:ascii="Arial" w:eastAsia="Times New Roman" w:hAnsi="Arial" w:cs="Arial"/>
                <w:i/>
                <w:iCs/>
                <w:sz w:val="14"/>
                <w:szCs w:val="14"/>
              </w:rPr>
              <w:t>CCG-AWP@EPA.GOV.</w:t>
            </w:r>
            <w:r w:rsidRPr="00C342CD">
              <w:rPr>
                <w:rFonts w:ascii="Arial" w:eastAsia="Times New Roman" w:hAnsi="Arial" w:cs="Arial"/>
                <w:sz w:val="14"/>
                <w:szCs w:val="14"/>
              </w:rPr>
              <w:t xml:space="preserve"> </w:t>
            </w:r>
          </w:p>
          <w:p w:rsidR="00C342CD" w:rsidRPr="00C342CD" w:rsidRDefault="00C342CD" w:rsidP="00C342CD">
            <w:pPr>
              <w:spacing w:before="200"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[51 FR 2701, Jan. 21, 1986, as amended at 63 FR 24444, May 4, 1998; 65 FR 61752, Oct. 17, 2000; 73 FR 78209, Dec. 22, 2008]</w:t>
            </w:r>
          </w:p>
          <w:p w:rsidR="00C342CD" w:rsidRPr="00C342CD" w:rsidRDefault="00C342CD" w:rsidP="00C342CD">
            <w:pPr>
              <w:spacing w:before="200" w:after="100" w:line="240" w:lineRule="auto"/>
              <w:outlineLvl w:val="1"/>
              <w:rPr>
                <w:rFonts w:ascii="Arial" w:eastAsia="Times New Roman" w:hAnsi="Arial" w:cs="Arial"/>
                <w:b/>
                <w:bCs/>
                <w:sz w:val="14"/>
                <w:szCs w:val="14"/>
              </w:rPr>
            </w:pPr>
            <w:bookmarkStart w:id="17" w:name="40:7.0.1.1.1.1.151.19"/>
            <w:bookmarkEnd w:id="17"/>
            <w:r w:rsidRPr="00C342CD">
              <w:rPr>
                <w:rFonts w:ascii="Arial" w:eastAsia="Times New Roman" w:hAnsi="Arial" w:cs="Arial"/>
                <w:b/>
                <w:bCs/>
                <w:sz w:val="14"/>
                <w:szCs w:val="14"/>
              </w:rPr>
              <w:t>§ 60.19   General notification and reporting requirements.</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(a) For the purposes of this part, time periods specified in days shall be measured in calendar days, even if the word “calendar” is absent, unless otherwise specified in an applicable requirement.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(b) For the purposes of this part, if an explicit postmark deadline is not specified in an applicable requirement for the submittal of a notification, application,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delivered or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including the use of electronic media, agreed to by the permitting authority, is acceptable.</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(c)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paragraph (f) of this section.</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(d) If an owner or operator of an affected facility in a State with delegated authority is required to submit periodic reports under this part to the State, and if the State has an established timeline for the submission of periodic reports that is consistent with the reporting frequency(ies) specified for such facility under this part, the owner or operator may change the dates by which periodic reports under this part shall be submitted (without changing </w:t>
            </w:r>
            <w:r w:rsidRPr="00C342CD">
              <w:rPr>
                <w:rFonts w:ascii="Arial" w:eastAsia="Times New Roman" w:hAnsi="Arial" w:cs="Arial"/>
                <w:sz w:val="14"/>
                <w:szCs w:val="14"/>
              </w:rPr>
              <w:lastRenderedPageBreak/>
              <w:t>the frequency of reporting) to be consistent with the State's schedule by mutual agreement between the owner or operator and the State. The allowance in the previous sentence applies in each State beginning 1 year after the affected facility is required to be in compliance with the applicable subpart in this part. Procedures governing the implementation of this provision are specified in paragraph (f) of this section.</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 xml:space="preserve">(e) If an owner or operator supervises one or more stationary sources affected by standards set under this part and standards set under part 61, part 63, or both such parts of this chapter, he/she may arrange by mutual agreement between the owner or operator and the Administrator (or the State with an approved permit program) a common schedule on which periodic reports required by each applicable standard shall be submitted throughout the year. The allowance in the previous sentence applies in each State beginning 1 year after the stationary source is required to be in compliance with the applicable subpart in this part, or 1 year after the stationary source is required to be in compliance with the applicable 40 CFR </w:t>
            </w:r>
            <w:proofErr w:type="gramStart"/>
            <w:r w:rsidRPr="00C342CD">
              <w:rPr>
                <w:rFonts w:ascii="Arial" w:eastAsia="Times New Roman" w:hAnsi="Arial" w:cs="Arial"/>
                <w:sz w:val="14"/>
                <w:szCs w:val="14"/>
              </w:rPr>
              <w:t>part</w:t>
            </w:r>
            <w:proofErr w:type="gramEnd"/>
            <w:r w:rsidRPr="00C342CD">
              <w:rPr>
                <w:rFonts w:ascii="Arial" w:eastAsia="Times New Roman" w:hAnsi="Arial" w:cs="Arial"/>
                <w:sz w:val="14"/>
                <w:szCs w:val="14"/>
              </w:rPr>
              <w:t xml:space="preserve"> 61 or part 63 of this chapter standard, whichever is latest. Procedures governing the implementation of this provision are specified in paragraph (f) of this section.</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(f)(1)(i) Until an adjustment of a time period or postmark deadline has been approved by the Administrator under paragraphs (f)(2) and (f)(3) of this section, the owner or operator of an affected facility remains strictly subject to the requirements of this part.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(ii) An owner or operator shall request the adjustment provided for in paragraphs (f)(2) and (f)(3) of this section each time he or she wishes to change an applicable time period or postmark deadline specified in this part.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(3) 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w:t>
            </w:r>
          </w:p>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rPr>
              <w:t>(4) If the Administrator is unable to meet a specified deadline, he or she will notify the owner or operator of any significant delay and inform the owner or operator of the amended schedule.</w:t>
            </w:r>
          </w:p>
          <w:p w:rsidR="00C342CD" w:rsidRPr="00C342CD" w:rsidRDefault="00C342CD" w:rsidP="00C342CD">
            <w:pPr>
              <w:spacing w:before="200"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[59 FR 12428, Mar. 16, 1994, as amended at 64 FR 7463, Feb. 12, 1998]</w:t>
            </w:r>
          </w:p>
          <w:p w:rsidR="00C342CD" w:rsidRPr="00C342CD" w:rsidRDefault="00C342CD" w:rsidP="00C342CD">
            <w:pPr>
              <w:spacing w:before="200" w:after="100" w:line="240" w:lineRule="auto"/>
              <w:outlineLvl w:val="1"/>
              <w:rPr>
                <w:rFonts w:ascii="Arial" w:eastAsia="Times New Roman" w:hAnsi="Arial" w:cs="Arial"/>
                <w:b/>
                <w:bCs/>
                <w:sz w:val="14"/>
                <w:szCs w:val="14"/>
              </w:rPr>
            </w:pPr>
            <w:bookmarkStart w:id="18" w:name="40:7.0.1.1.1.1.151.20.1"/>
            <w:bookmarkEnd w:id="18"/>
            <w:r w:rsidRPr="00C342CD">
              <w:rPr>
                <w:rFonts w:ascii="Arial" w:eastAsia="Times New Roman" w:hAnsi="Arial" w:cs="Arial"/>
                <w:b/>
                <w:bCs/>
                <w:sz w:val="14"/>
                <w:szCs w:val="14"/>
              </w:rPr>
              <w:t>Table 1 to Subpart A of Part 60-Detection Sensitivity Levels (grams per hour)</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5379"/>
              <w:gridCol w:w="3971"/>
            </w:tblGrid>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Monitoring frequency per subpart </w:t>
                  </w:r>
                  <w:r w:rsidRPr="00C342CD">
                    <w:rPr>
                      <w:rFonts w:ascii="Arial" w:eastAsia="Times New Roman" w:hAnsi="Arial" w:cs="Arial"/>
                      <w:b/>
                      <w:bCs/>
                      <w:sz w:val="14"/>
                      <w:szCs w:val="14"/>
                      <w:vertAlign w:val="superscript"/>
                    </w:rPr>
                    <w:t>a</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42CD" w:rsidRPr="00C342CD" w:rsidRDefault="00C342CD" w:rsidP="00C342CD">
                  <w:pPr>
                    <w:spacing w:after="0" w:line="240" w:lineRule="auto"/>
                    <w:jc w:val="center"/>
                    <w:rPr>
                      <w:rFonts w:ascii="Arial" w:eastAsia="Times New Roman" w:hAnsi="Arial" w:cs="Arial"/>
                      <w:b/>
                      <w:bCs/>
                      <w:sz w:val="14"/>
                      <w:szCs w:val="14"/>
                    </w:rPr>
                  </w:pPr>
                  <w:r w:rsidRPr="00C342CD">
                    <w:rPr>
                      <w:rFonts w:ascii="Arial" w:eastAsia="Times New Roman" w:hAnsi="Arial" w:cs="Arial"/>
                      <w:b/>
                      <w:bCs/>
                      <w:sz w:val="14"/>
                      <w:szCs w:val="14"/>
                    </w:rPr>
                    <w:t>Detection sensitivity level</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Bi-Monthly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60</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Semi-Quarterly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85</w:t>
                  </w:r>
                </w:p>
              </w:tc>
            </w:tr>
            <w:tr w:rsidR="00C342CD" w:rsidRPr="00C342CD" w:rsidTr="00C342CD">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rPr>
                      <w:rFonts w:ascii="Arial" w:eastAsia="Times New Roman" w:hAnsi="Arial" w:cs="Arial"/>
                      <w:sz w:val="14"/>
                      <w:szCs w:val="14"/>
                    </w:rPr>
                  </w:pPr>
                  <w:r w:rsidRPr="00C342CD">
                    <w:rPr>
                      <w:rFonts w:ascii="Arial" w:eastAsia="Times New Roman" w:hAnsi="Arial" w:cs="Arial"/>
                      <w:sz w:val="14"/>
                      <w:szCs w:val="14"/>
                    </w:rPr>
                    <w:t>Monthly</w:t>
                  </w:r>
                </w:p>
              </w:tc>
              <w:tc>
                <w:tcPr>
                  <w:tcW w:w="0" w:type="auto"/>
                  <w:tcBorders>
                    <w:top w:val="single" w:sz="4" w:space="0" w:color="000000"/>
                    <w:left w:val="single" w:sz="4" w:space="0" w:color="000000"/>
                    <w:bottom w:val="single" w:sz="4" w:space="0" w:color="000000"/>
                    <w:right w:val="single" w:sz="4" w:space="0" w:color="000000"/>
                  </w:tcBorders>
                  <w:hideMark/>
                </w:tcPr>
                <w:p w:rsidR="00C342CD" w:rsidRPr="00C342CD" w:rsidRDefault="00C342CD" w:rsidP="00C342CD">
                  <w:pPr>
                    <w:spacing w:after="0" w:line="240" w:lineRule="auto"/>
                    <w:jc w:val="right"/>
                    <w:rPr>
                      <w:rFonts w:ascii="Arial" w:eastAsia="Times New Roman" w:hAnsi="Arial" w:cs="Arial"/>
                      <w:sz w:val="14"/>
                      <w:szCs w:val="14"/>
                    </w:rPr>
                  </w:pPr>
                  <w:r w:rsidRPr="00C342CD">
                    <w:rPr>
                      <w:rFonts w:ascii="Arial" w:eastAsia="Times New Roman" w:hAnsi="Arial" w:cs="Arial"/>
                      <w:sz w:val="14"/>
                      <w:szCs w:val="14"/>
                    </w:rPr>
                    <w:t>100</w:t>
                  </w:r>
                </w:p>
              </w:tc>
            </w:tr>
          </w:tbl>
          <w:p w:rsidR="00C342CD" w:rsidRPr="00C342CD" w:rsidRDefault="00C342CD" w:rsidP="00C342CD">
            <w:pPr>
              <w:spacing w:before="100" w:beforeAutospacing="1" w:after="100" w:afterAutospacing="1" w:line="240" w:lineRule="auto"/>
              <w:ind w:firstLine="480"/>
              <w:jc w:val="center"/>
              <w:rPr>
                <w:rFonts w:ascii="Arial" w:eastAsia="Times New Roman" w:hAnsi="Arial" w:cs="Arial"/>
                <w:sz w:val="14"/>
                <w:szCs w:val="14"/>
              </w:rPr>
            </w:pPr>
            <w:r w:rsidRPr="00C342CD">
              <w:rPr>
                <w:rFonts w:ascii="Arial" w:eastAsia="Times New Roman" w:hAnsi="Arial" w:cs="Arial"/>
                <w:sz w:val="14"/>
                <w:szCs w:val="14"/>
                <w:vertAlign w:val="superscript"/>
              </w:rPr>
              <w:t>a</w:t>
            </w:r>
            <w:r w:rsidRPr="00C342CD">
              <w:rPr>
                <w:rFonts w:ascii="Arial" w:eastAsia="Times New Roman" w:hAnsi="Arial" w:cs="Arial"/>
                <w:sz w:val="14"/>
                <w:szCs w:val="14"/>
              </w:rPr>
              <w:t> When this alternative work practice is used to identify leaking equipment, the owner or operator must choose one of the monitoring frequencies listed in this table in lieu of the monitoring frequency specified in the applicable subpart. Bi-monthly means every other month. Semi-quarterly means twice per quarter. Monthly means once per month.</w:t>
            </w:r>
          </w:p>
          <w:p w:rsidR="00C342CD" w:rsidRPr="00C342CD" w:rsidRDefault="00C342CD" w:rsidP="00C342CD">
            <w:pPr>
              <w:spacing w:before="200" w:after="100" w:afterAutospacing="1" w:line="240" w:lineRule="auto"/>
              <w:rPr>
                <w:rFonts w:ascii="Arial" w:eastAsia="Times New Roman" w:hAnsi="Arial" w:cs="Arial"/>
                <w:sz w:val="13"/>
                <w:szCs w:val="13"/>
              </w:rPr>
            </w:pPr>
            <w:r w:rsidRPr="00C342CD">
              <w:rPr>
                <w:rFonts w:ascii="Arial" w:eastAsia="Times New Roman" w:hAnsi="Arial" w:cs="Arial"/>
                <w:sz w:val="13"/>
                <w:szCs w:val="13"/>
              </w:rPr>
              <w:t>[73 FR 78211, Dec. 22, 2008]</w:t>
            </w:r>
          </w:p>
          <w:tbl>
            <w:tblPr>
              <w:tblW w:w="5000" w:type="pct"/>
              <w:jc w:val="center"/>
              <w:tblCellSpacing w:w="15" w:type="dxa"/>
              <w:tblCellMar>
                <w:top w:w="15" w:type="dxa"/>
                <w:left w:w="15" w:type="dxa"/>
                <w:bottom w:w="15" w:type="dxa"/>
                <w:right w:w="15" w:type="dxa"/>
              </w:tblCellMar>
              <w:tblLook w:val="04A0"/>
            </w:tblPr>
            <w:tblGrid>
              <w:gridCol w:w="9360"/>
            </w:tblGrid>
            <w:tr w:rsidR="00C342CD" w:rsidRPr="00C342CD" w:rsidTr="00C342CD">
              <w:trPr>
                <w:tblCellSpacing w:w="15" w:type="dxa"/>
                <w:jc w:val="center"/>
              </w:trPr>
              <w:tc>
                <w:tcPr>
                  <w:tcW w:w="0" w:type="auto"/>
                  <w:hideMark/>
                </w:tcPr>
                <w:p w:rsidR="00C342CD" w:rsidRPr="00C342CD" w:rsidRDefault="0051487C" w:rsidP="00C342CD">
                  <w:pPr>
                    <w:spacing w:after="0" w:line="240" w:lineRule="auto"/>
                    <w:rPr>
                      <w:rFonts w:ascii="Arial" w:eastAsia="Times New Roman" w:hAnsi="Arial" w:cs="Arial"/>
                      <w:sz w:val="14"/>
                      <w:szCs w:val="14"/>
                    </w:rPr>
                  </w:pPr>
                  <w:r w:rsidRPr="0051487C">
                    <w:rPr>
                      <w:rFonts w:ascii="Arial" w:eastAsia="Times New Roman" w:hAnsi="Arial" w:cs="Arial"/>
                      <w:sz w:val="14"/>
                      <w:szCs w:val="14"/>
                    </w:rPr>
                    <w:pict>
                      <v:rect id="_x0000_i1025" style="width:327.6pt;height:1.05pt" o:hrpct="700" o:hralign="center" o:hrstd="t" o:hr="t" fillcolor="#aca899" stroked="f"/>
                    </w:pict>
                  </w:r>
                </w:p>
                <w:p w:rsidR="00C342CD" w:rsidRPr="00C342CD" w:rsidRDefault="00C342CD" w:rsidP="00C342CD">
                  <w:pPr>
                    <w:spacing w:after="0" w:line="240" w:lineRule="auto"/>
                    <w:rPr>
                      <w:rFonts w:ascii="Arial" w:eastAsia="Times New Roman" w:hAnsi="Arial" w:cs="Arial"/>
                      <w:sz w:val="14"/>
                      <w:szCs w:val="14"/>
                    </w:rPr>
                  </w:pPr>
                </w:p>
                <w:p w:rsidR="00C342CD" w:rsidRPr="00C342CD" w:rsidRDefault="00C342CD" w:rsidP="00C342CD">
                  <w:pPr>
                    <w:spacing w:before="100" w:beforeAutospacing="1" w:after="240" w:line="240" w:lineRule="auto"/>
                    <w:rPr>
                      <w:rFonts w:ascii="Arial" w:eastAsia="Times New Roman" w:hAnsi="Arial" w:cs="Arial"/>
                      <w:sz w:val="12"/>
                      <w:szCs w:val="12"/>
                    </w:rPr>
                  </w:pPr>
                  <w:r w:rsidRPr="00C342CD">
                    <w:rPr>
                      <w:rFonts w:ascii="Arial" w:eastAsia="Times New Roman" w:hAnsi="Arial" w:cs="Arial"/>
                      <w:sz w:val="12"/>
                      <w:szCs w:val="12"/>
                    </w:rPr>
                    <w:t xml:space="preserve">For questions or comments regarding e-CFR editorial content, features, or design, email </w:t>
                  </w:r>
                  <w:hyperlink r:id="rId12" w:history="1">
                    <w:r w:rsidRPr="00C342CD">
                      <w:rPr>
                        <w:rFonts w:ascii="Arial" w:eastAsia="Times New Roman" w:hAnsi="Arial" w:cs="Arial"/>
                        <w:color w:val="0000FF"/>
                        <w:sz w:val="12"/>
                      </w:rPr>
                      <w:t>ecfr@nara.gov</w:t>
                    </w:r>
                  </w:hyperlink>
                  <w:r w:rsidRPr="00C342CD">
                    <w:rPr>
                      <w:rFonts w:ascii="Arial" w:eastAsia="Times New Roman" w:hAnsi="Arial" w:cs="Arial"/>
                      <w:sz w:val="12"/>
                      <w:szCs w:val="12"/>
                    </w:rPr>
                    <w:t>.</w:t>
                  </w:r>
                  <w:r w:rsidRPr="00C342CD">
                    <w:rPr>
                      <w:rFonts w:ascii="Arial" w:eastAsia="Times New Roman" w:hAnsi="Arial" w:cs="Arial"/>
                      <w:sz w:val="12"/>
                      <w:szCs w:val="12"/>
                    </w:rPr>
                    <w:br/>
                    <w:t xml:space="preserve">For questions concerning e-CFR programming and delivery issues, email </w:t>
                  </w:r>
                  <w:hyperlink r:id="rId13" w:history="1">
                    <w:r w:rsidRPr="00C342CD">
                      <w:rPr>
                        <w:rFonts w:ascii="Arial" w:eastAsia="Times New Roman" w:hAnsi="Arial" w:cs="Arial"/>
                        <w:color w:val="0000FF"/>
                        <w:sz w:val="12"/>
                      </w:rPr>
                      <w:t>webteam@gpo.gov</w:t>
                    </w:r>
                  </w:hyperlink>
                  <w:r w:rsidRPr="00C342CD">
                    <w:rPr>
                      <w:rFonts w:ascii="Arial" w:eastAsia="Times New Roman" w:hAnsi="Arial" w:cs="Arial"/>
                      <w:sz w:val="12"/>
                      <w:szCs w:val="12"/>
                    </w:rPr>
                    <w:t>.</w:t>
                  </w:r>
                </w:p>
              </w:tc>
            </w:tr>
          </w:tbl>
          <w:p w:rsidR="00C342CD" w:rsidRPr="00C342CD" w:rsidRDefault="00C342CD" w:rsidP="00C342CD">
            <w:pPr>
              <w:spacing w:after="0" w:line="240" w:lineRule="auto"/>
              <w:jc w:val="center"/>
              <w:rPr>
                <w:rFonts w:ascii="Arial" w:eastAsia="Times New Roman" w:hAnsi="Arial" w:cs="Arial"/>
                <w:sz w:val="14"/>
                <w:szCs w:val="14"/>
              </w:rPr>
            </w:pPr>
          </w:p>
        </w:tc>
      </w:tr>
    </w:tbl>
    <w:p w:rsidR="00C342CD" w:rsidRPr="00C342CD" w:rsidRDefault="00C342CD" w:rsidP="00C342CD">
      <w:pPr>
        <w:shd w:val="clear" w:color="auto" w:fill="FFFFFF"/>
        <w:spacing w:after="0" w:line="240" w:lineRule="auto"/>
        <w:rPr>
          <w:rFonts w:ascii="Arial" w:eastAsia="Times New Roman" w:hAnsi="Arial" w:cs="Arial"/>
          <w:color w:val="000000"/>
          <w:sz w:val="10"/>
          <w:szCs w:val="10"/>
        </w:rPr>
      </w:pPr>
      <w:r w:rsidRPr="00C342CD">
        <w:rPr>
          <w:rFonts w:ascii="Arial" w:eastAsia="Times New Roman" w:hAnsi="Arial" w:cs="Arial"/>
          <w:color w:val="000000"/>
          <w:sz w:val="10"/>
          <w:szCs w:val="10"/>
        </w:rPr>
        <w:lastRenderedPageBreak/>
        <w:t xml:space="preserve">732 North Capitol </w:t>
      </w:r>
      <w:proofErr w:type="gramStart"/>
      <w:r w:rsidRPr="00C342CD">
        <w:rPr>
          <w:rFonts w:ascii="Arial" w:eastAsia="Times New Roman" w:hAnsi="Arial" w:cs="Arial"/>
          <w:color w:val="000000"/>
          <w:sz w:val="10"/>
          <w:szCs w:val="10"/>
        </w:rPr>
        <w:t>Street</w:t>
      </w:r>
      <w:proofErr w:type="gramEnd"/>
      <w:r w:rsidRPr="00C342CD">
        <w:rPr>
          <w:rFonts w:ascii="Arial" w:eastAsia="Times New Roman" w:hAnsi="Arial" w:cs="Arial"/>
          <w:color w:val="000000"/>
          <w:sz w:val="10"/>
          <w:szCs w:val="10"/>
        </w:rPr>
        <w:t xml:space="preserve">, NW, Washington, DC 20401-0001     202.512.1800 </w:t>
      </w:r>
    </w:p>
    <w:p w:rsidR="004D7A00" w:rsidRPr="00C342CD" w:rsidRDefault="004D7A00"/>
    <w:sectPr w:rsidR="004D7A00" w:rsidRPr="00C342CD" w:rsidSect="004D7A00">
      <w:headerReference w:type="even" r:id="rId14"/>
      <w:headerReference w:type="default" r:id="rId15"/>
      <w:footerReference w:type="even" r:id="rId16"/>
      <w:footerReference w:type="default" r:id="rId17"/>
      <w:headerReference w:type="first" r:id="rId18"/>
      <w:footerReference w:type="first" r:id="rId1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45A0" w:rsidRDefault="00F745A0" w:rsidP="00CE4451">
      <w:pPr>
        <w:spacing w:after="0" w:line="240" w:lineRule="auto"/>
      </w:pPr>
      <w:r>
        <w:separator/>
      </w:r>
    </w:p>
  </w:endnote>
  <w:endnote w:type="continuationSeparator" w:id="0">
    <w:p w:rsidR="00F745A0" w:rsidRDefault="00F745A0" w:rsidP="00CE445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5D50" w:rsidRDefault="004C5D5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42ED" w:rsidRPr="005442ED" w:rsidRDefault="005442ED">
    <w:pPr>
      <w:pStyle w:val="Footer"/>
      <w:rPr>
        <w:rFonts w:ascii="Book Antiqua" w:hAnsi="Book Antiqua"/>
      </w:rPr>
    </w:pPr>
    <w:r w:rsidRPr="005442ED">
      <w:rPr>
        <w:rFonts w:ascii="Book Antiqua" w:hAnsi="Book Antiqua"/>
      </w:rPr>
      <w:t>Middleburg Sitework Utilities, Inc.</w:t>
    </w:r>
    <w:r w:rsidRPr="005442ED">
      <w:rPr>
        <w:rFonts w:ascii="Book Antiqua" w:hAnsi="Book Antiqua"/>
      </w:rPr>
      <w:tab/>
    </w:r>
    <w:r>
      <w:tab/>
    </w:r>
    <w:r w:rsidRPr="005442ED">
      <w:rPr>
        <w:rFonts w:ascii="Book Antiqua" w:hAnsi="Book Antiqua"/>
      </w:rPr>
      <w:t>Air Permit No. 0190067-004-AO</w:t>
    </w:r>
  </w:p>
  <w:p w:rsidR="004C5D50" w:rsidRDefault="005442ED">
    <w:pPr>
      <w:pStyle w:val="Footer"/>
    </w:pPr>
    <w:r w:rsidRPr="005442ED">
      <w:rPr>
        <w:rFonts w:ascii="Book Antiqua" w:hAnsi="Book Antiqua"/>
      </w:rPr>
      <w:t>Middleburg Sitework Utilities, Inc.</w:t>
    </w:r>
    <w:r w:rsidRPr="005442ED">
      <w:rPr>
        <w:rFonts w:ascii="Book Antiqua" w:hAnsi="Book Antiqua"/>
      </w:rPr>
      <w:tab/>
    </w:r>
    <w:r w:rsidRPr="005442ED">
      <w:rPr>
        <w:rFonts w:ascii="Book Antiqua" w:hAnsi="Book Antiqua"/>
      </w:rPr>
      <w:tab/>
      <w:t>Non Title V Air Operation Permit</w:t>
    </w:r>
    <w:r>
      <w:tab/>
    </w:r>
    <w:r>
      <w:tab/>
    </w:r>
    <w:r>
      <w:tab/>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5D50" w:rsidRDefault="004C5D5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45A0" w:rsidRDefault="00F745A0" w:rsidP="00CE4451">
      <w:pPr>
        <w:spacing w:after="0" w:line="240" w:lineRule="auto"/>
      </w:pPr>
      <w:r>
        <w:separator/>
      </w:r>
    </w:p>
  </w:footnote>
  <w:footnote w:type="continuationSeparator" w:id="0">
    <w:p w:rsidR="00F745A0" w:rsidRDefault="00F745A0" w:rsidP="00CE445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5D50" w:rsidRDefault="004C5D5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4451" w:rsidRPr="00076F67" w:rsidRDefault="00CE4451" w:rsidP="00CE4451">
    <w:pPr>
      <w:pStyle w:val="Header"/>
      <w:pBdr>
        <w:bottom w:val="single" w:sz="4" w:space="1" w:color="auto"/>
      </w:pBdr>
      <w:jc w:val="center"/>
      <w:rPr>
        <w:rFonts w:ascii="Book Antiqua" w:hAnsi="Book Antiqua"/>
        <w:b/>
        <w:caps/>
      </w:rPr>
    </w:pPr>
    <w:r w:rsidRPr="00076F67">
      <w:rPr>
        <w:rFonts w:ascii="Book Antiqua" w:hAnsi="Book Antiqua"/>
        <w:b/>
        <w:caps/>
      </w:rPr>
      <w:t xml:space="preserve">  </w:t>
    </w:r>
  </w:p>
  <w:p w:rsidR="00CE4451" w:rsidRPr="001C1C88" w:rsidRDefault="004C5D50" w:rsidP="00B0495A">
    <w:pPr>
      <w:pBdr>
        <w:bottom w:val="single" w:sz="4" w:space="1" w:color="auto"/>
      </w:pBdr>
      <w:jc w:val="center"/>
      <w:rPr>
        <w:b/>
        <w:smallCaps/>
      </w:rPr>
    </w:pPr>
    <w:r w:rsidRPr="004C5D50">
      <w:rPr>
        <w:rFonts w:ascii="Book Antiqua" w:hAnsi="Book Antiqua"/>
        <w:b/>
        <w:caps/>
      </w:rPr>
      <w:t>Section 4.</w:t>
    </w:r>
    <w:r>
      <w:rPr>
        <w:b/>
        <w:caps/>
        <w:sz w:val="20"/>
        <w:szCs w:val="20"/>
      </w:rPr>
      <w:t xml:space="preserve">  </w:t>
    </w:r>
    <w:r w:rsidR="00CE4451" w:rsidRPr="001450C1">
      <w:rPr>
        <w:rFonts w:ascii="Book Antiqua" w:hAnsi="Book Antiqua"/>
        <w:b/>
        <w:smallCaps/>
      </w:rPr>
      <w:t>A</w:t>
    </w:r>
    <w:r w:rsidR="00CE4451">
      <w:rPr>
        <w:rFonts w:ascii="Book Antiqua" w:hAnsi="Book Antiqua"/>
        <w:b/>
        <w:smallCaps/>
      </w:rPr>
      <w:t xml:space="preserve">PPENDIX </w:t>
    </w:r>
    <w:r w:rsidR="00B0495A">
      <w:rPr>
        <w:rFonts w:ascii="Book Antiqua" w:hAnsi="Book Antiqua"/>
        <w:b/>
        <w:smallCaps/>
      </w:rPr>
      <w:t>E</w:t>
    </w:r>
  </w:p>
  <w:p w:rsidR="00CE4451" w:rsidRPr="001450C1" w:rsidRDefault="00CE4451" w:rsidP="00CE4451">
    <w:pPr>
      <w:tabs>
        <w:tab w:val="left" w:pos="720"/>
      </w:tabs>
      <w:ind w:left="540" w:hanging="540"/>
      <w:jc w:val="center"/>
      <w:rPr>
        <w:rFonts w:ascii="Book Antiqua" w:hAnsi="Book Antiqua"/>
        <w:b/>
        <w:caps/>
      </w:rPr>
    </w:pPr>
    <w:r>
      <w:rPr>
        <w:rFonts w:ascii="Book Antiqua" w:hAnsi="Book Antiqua"/>
        <w:b/>
        <w:smallCaps/>
      </w:rPr>
      <w:t>40 CFR 60,</w:t>
    </w:r>
    <w:r w:rsidRPr="001450C1">
      <w:rPr>
        <w:rFonts w:ascii="Book Antiqua" w:hAnsi="Book Antiqua"/>
        <w:b/>
        <w:smallCaps/>
      </w:rPr>
      <w:t xml:space="preserve"> </w:t>
    </w:r>
    <w:r>
      <w:rPr>
        <w:rFonts w:ascii="Book Antiqua" w:hAnsi="Book Antiqua"/>
        <w:b/>
        <w:smallCaps/>
      </w:rPr>
      <w:t>SUBPART</w:t>
    </w:r>
    <w:r w:rsidRPr="001450C1">
      <w:rPr>
        <w:rFonts w:ascii="Book Antiqua" w:hAnsi="Book Antiqua"/>
        <w:b/>
        <w:smallCaps/>
      </w:rPr>
      <w:t xml:space="preserve"> A</w:t>
    </w:r>
    <w:r>
      <w:rPr>
        <w:rFonts w:ascii="Book Antiqua" w:hAnsi="Book Antiqua"/>
        <w:b/>
        <w:smallCaps/>
      </w:rPr>
      <w:t xml:space="preserve">, </w:t>
    </w:r>
    <w:r w:rsidRPr="001450C1">
      <w:rPr>
        <w:rFonts w:ascii="Book Antiqua" w:hAnsi="Book Antiqua"/>
        <w:b/>
        <w:caps/>
      </w:rPr>
      <w:t>General Provisions</w:t>
    </w:r>
  </w:p>
  <w:p w:rsidR="00CE4451" w:rsidRDefault="00CE4451">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5D50" w:rsidRDefault="004C5D50">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grammar="clean"/>
  <w:defaultTabStop w:val="720"/>
  <w:characterSpacingControl w:val="doNotCompress"/>
  <w:footnotePr>
    <w:footnote w:id="-1"/>
    <w:footnote w:id="0"/>
  </w:footnotePr>
  <w:endnotePr>
    <w:endnote w:id="-1"/>
    <w:endnote w:id="0"/>
  </w:endnotePr>
  <w:compat/>
  <w:rsids>
    <w:rsidRoot w:val="00C342CD"/>
    <w:rsid w:val="00243D64"/>
    <w:rsid w:val="002515C4"/>
    <w:rsid w:val="00300CD8"/>
    <w:rsid w:val="004C5D50"/>
    <w:rsid w:val="004D7A00"/>
    <w:rsid w:val="0051487C"/>
    <w:rsid w:val="005442ED"/>
    <w:rsid w:val="00715E8D"/>
    <w:rsid w:val="00925600"/>
    <w:rsid w:val="009F6E6E"/>
    <w:rsid w:val="00A86249"/>
    <w:rsid w:val="00B0495A"/>
    <w:rsid w:val="00C24500"/>
    <w:rsid w:val="00C342CD"/>
    <w:rsid w:val="00CE4451"/>
    <w:rsid w:val="00DD7A8A"/>
    <w:rsid w:val="00F745A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7A00"/>
  </w:style>
  <w:style w:type="paragraph" w:styleId="Heading1">
    <w:name w:val="heading 1"/>
    <w:basedOn w:val="Normal"/>
    <w:link w:val="Heading1Char"/>
    <w:uiPriority w:val="9"/>
    <w:qFormat/>
    <w:rsid w:val="00C342CD"/>
    <w:pPr>
      <w:spacing w:before="200" w:after="100" w:line="240" w:lineRule="auto"/>
      <w:jc w:val="center"/>
      <w:outlineLvl w:val="0"/>
    </w:pPr>
    <w:rPr>
      <w:rFonts w:ascii="Times New Roman" w:eastAsia="Times New Roman" w:hAnsi="Times New Roman" w:cs="Times New Roman"/>
      <w:b/>
      <w:bCs/>
      <w:kern w:val="36"/>
      <w:sz w:val="14"/>
      <w:szCs w:val="14"/>
    </w:rPr>
  </w:style>
  <w:style w:type="paragraph" w:styleId="Heading2">
    <w:name w:val="heading 2"/>
    <w:basedOn w:val="Normal"/>
    <w:link w:val="Heading2Char"/>
    <w:uiPriority w:val="9"/>
    <w:qFormat/>
    <w:rsid w:val="00C342CD"/>
    <w:pPr>
      <w:spacing w:before="200" w:after="100" w:line="240" w:lineRule="auto"/>
      <w:jc w:val="center"/>
      <w:outlineLvl w:val="1"/>
    </w:pPr>
    <w:rPr>
      <w:rFonts w:ascii="Times New Roman" w:eastAsia="Times New Roman" w:hAnsi="Times New Roman" w:cs="Times New Roman"/>
      <w:b/>
      <w:bCs/>
      <w:sz w:val="14"/>
      <w:szCs w:val="14"/>
    </w:rPr>
  </w:style>
  <w:style w:type="paragraph" w:styleId="Heading3">
    <w:name w:val="heading 3"/>
    <w:basedOn w:val="Normal"/>
    <w:link w:val="Heading3Char"/>
    <w:uiPriority w:val="9"/>
    <w:qFormat/>
    <w:rsid w:val="00C342CD"/>
    <w:pPr>
      <w:spacing w:before="200" w:after="100" w:line="240" w:lineRule="auto"/>
      <w:jc w:val="center"/>
      <w:outlineLvl w:val="2"/>
    </w:pPr>
    <w:rPr>
      <w:rFonts w:ascii="Times New Roman" w:eastAsia="Times New Roman" w:hAnsi="Times New Roman" w:cs="Times New Roman"/>
      <w:b/>
      <w:bCs/>
      <w:sz w:val="14"/>
      <w:szCs w:val="14"/>
    </w:rPr>
  </w:style>
  <w:style w:type="paragraph" w:styleId="Heading4">
    <w:name w:val="heading 4"/>
    <w:basedOn w:val="Normal"/>
    <w:link w:val="Heading4Char"/>
    <w:uiPriority w:val="9"/>
    <w:qFormat/>
    <w:rsid w:val="00C342CD"/>
    <w:pPr>
      <w:spacing w:before="200" w:after="100" w:line="240" w:lineRule="auto"/>
      <w:jc w:val="center"/>
      <w:outlineLvl w:val="3"/>
    </w:pPr>
    <w:rPr>
      <w:rFonts w:ascii="Times New Roman" w:eastAsia="Times New Roman" w:hAnsi="Times New Roman" w:cs="Times New Roman"/>
      <w:b/>
      <w:bCs/>
      <w:sz w:val="14"/>
      <w:szCs w:val="14"/>
    </w:rPr>
  </w:style>
  <w:style w:type="paragraph" w:styleId="Heading5">
    <w:name w:val="heading 5"/>
    <w:basedOn w:val="Normal"/>
    <w:link w:val="Heading5Char"/>
    <w:uiPriority w:val="9"/>
    <w:qFormat/>
    <w:rsid w:val="00C342CD"/>
    <w:pPr>
      <w:spacing w:before="200" w:after="100" w:line="240" w:lineRule="auto"/>
      <w:jc w:val="center"/>
      <w:outlineLvl w:val="4"/>
    </w:pPr>
    <w:rPr>
      <w:rFonts w:ascii="Times New Roman" w:eastAsia="Times New Roman" w:hAnsi="Times New Roman" w:cs="Times New Roman"/>
      <w:b/>
      <w:bCs/>
      <w:sz w:val="14"/>
      <w:szCs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342CD"/>
    <w:rPr>
      <w:rFonts w:ascii="Times New Roman" w:eastAsia="Times New Roman" w:hAnsi="Times New Roman" w:cs="Times New Roman"/>
      <w:b/>
      <w:bCs/>
      <w:sz w:val="14"/>
      <w:szCs w:val="14"/>
    </w:rPr>
  </w:style>
  <w:style w:type="character" w:styleId="Hyperlink">
    <w:name w:val="Hyperlink"/>
    <w:basedOn w:val="DefaultParagraphFont"/>
    <w:uiPriority w:val="99"/>
    <w:semiHidden/>
    <w:unhideWhenUsed/>
    <w:rsid w:val="00C342CD"/>
    <w:rPr>
      <w:rFonts w:ascii="Arial" w:hAnsi="Arial" w:cs="Arial" w:hint="default"/>
      <w:strike w:val="0"/>
      <w:dstrike w:val="0"/>
      <w:color w:val="0000FF"/>
      <w:sz w:val="12"/>
      <w:szCs w:val="12"/>
      <w:u w:val="none"/>
      <w:effect w:val="none"/>
    </w:rPr>
  </w:style>
  <w:style w:type="paragraph" w:styleId="NormalWeb">
    <w:name w:val="Normal (Web)"/>
    <w:basedOn w:val="Normal"/>
    <w:uiPriority w:val="99"/>
    <w:semiHidden/>
    <w:unhideWhenUsed/>
    <w:rsid w:val="00C342CD"/>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fp">
    <w:name w:val="fp"/>
    <w:basedOn w:val="Normal"/>
    <w:rsid w:val="00C342CD"/>
    <w:pPr>
      <w:spacing w:before="200" w:after="100" w:afterAutospacing="1" w:line="240" w:lineRule="auto"/>
    </w:pPr>
    <w:rPr>
      <w:rFonts w:ascii="Times New Roman" w:eastAsia="Times New Roman" w:hAnsi="Times New Roman" w:cs="Times New Roman"/>
      <w:sz w:val="24"/>
      <w:szCs w:val="24"/>
    </w:rPr>
  </w:style>
  <w:style w:type="paragraph" w:customStyle="1" w:styleId="cita">
    <w:name w:val="cita"/>
    <w:basedOn w:val="Normal"/>
    <w:rsid w:val="00C342CD"/>
    <w:pPr>
      <w:spacing w:before="200" w:after="100" w:afterAutospacing="1" w:line="240" w:lineRule="auto"/>
    </w:pPr>
    <w:rPr>
      <w:rFonts w:ascii="Times New Roman" w:eastAsia="Times New Roman" w:hAnsi="Times New Roman" w:cs="Times New Roman"/>
      <w:sz w:val="13"/>
      <w:szCs w:val="13"/>
    </w:rPr>
  </w:style>
  <w:style w:type="paragraph" w:customStyle="1" w:styleId="fp-1">
    <w:name w:val="fp-1"/>
    <w:basedOn w:val="Normal"/>
    <w:rsid w:val="00C342CD"/>
    <w:pPr>
      <w:spacing w:before="200" w:after="100" w:line="240" w:lineRule="auto"/>
      <w:ind w:left="480" w:hanging="480"/>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C342C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342CD"/>
    <w:rPr>
      <w:rFonts w:ascii="Tahoma" w:hAnsi="Tahoma" w:cs="Tahoma"/>
      <w:sz w:val="16"/>
      <w:szCs w:val="16"/>
    </w:rPr>
  </w:style>
  <w:style w:type="character" w:customStyle="1" w:styleId="Heading1Char">
    <w:name w:val="Heading 1 Char"/>
    <w:basedOn w:val="DefaultParagraphFont"/>
    <w:link w:val="Heading1"/>
    <w:uiPriority w:val="9"/>
    <w:rsid w:val="00C342CD"/>
    <w:rPr>
      <w:rFonts w:ascii="Times New Roman" w:eastAsia="Times New Roman" w:hAnsi="Times New Roman" w:cs="Times New Roman"/>
      <w:b/>
      <w:bCs/>
      <w:kern w:val="36"/>
      <w:sz w:val="14"/>
      <w:szCs w:val="14"/>
    </w:rPr>
  </w:style>
  <w:style w:type="character" w:customStyle="1" w:styleId="Heading3Char">
    <w:name w:val="Heading 3 Char"/>
    <w:basedOn w:val="DefaultParagraphFont"/>
    <w:link w:val="Heading3"/>
    <w:uiPriority w:val="9"/>
    <w:rsid w:val="00C342CD"/>
    <w:rPr>
      <w:rFonts w:ascii="Times New Roman" w:eastAsia="Times New Roman" w:hAnsi="Times New Roman" w:cs="Times New Roman"/>
      <w:b/>
      <w:bCs/>
      <w:sz w:val="14"/>
      <w:szCs w:val="14"/>
    </w:rPr>
  </w:style>
  <w:style w:type="character" w:customStyle="1" w:styleId="Heading4Char">
    <w:name w:val="Heading 4 Char"/>
    <w:basedOn w:val="DefaultParagraphFont"/>
    <w:link w:val="Heading4"/>
    <w:uiPriority w:val="9"/>
    <w:rsid w:val="00C342CD"/>
    <w:rPr>
      <w:rFonts w:ascii="Times New Roman" w:eastAsia="Times New Roman" w:hAnsi="Times New Roman" w:cs="Times New Roman"/>
      <w:b/>
      <w:bCs/>
      <w:sz w:val="14"/>
      <w:szCs w:val="14"/>
    </w:rPr>
  </w:style>
  <w:style w:type="character" w:customStyle="1" w:styleId="Heading5Char">
    <w:name w:val="Heading 5 Char"/>
    <w:basedOn w:val="DefaultParagraphFont"/>
    <w:link w:val="Heading5"/>
    <w:uiPriority w:val="9"/>
    <w:rsid w:val="00C342CD"/>
    <w:rPr>
      <w:rFonts w:ascii="Times New Roman" w:eastAsia="Times New Roman" w:hAnsi="Times New Roman" w:cs="Times New Roman"/>
      <w:b/>
      <w:bCs/>
      <w:sz w:val="14"/>
      <w:szCs w:val="14"/>
    </w:rPr>
  </w:style>
  <w:style w:type="paragraph" w:styleId="Header">
    <w:name w:val="header"/>
    <w:basedOn w:val="Normal"/>
    <w:link w:val="HeaderChar"/>
    <w:unhideWhenUsed/>
    <w:rsid w:val="00CE4451"/>
    <w:pPr>
      <w:tabs>
        <w:tab w:val="center" w:pos="4680"/>
        <w:tab w:val="right" w:pos="9360"/>
      </w:tabs>
      <w:spacing w:after="0" w:line="240" w:lineRule="auto"/>
    </w:pPr>
  </w:style>
  <w:style w:type="character" w:customStyle="1" w:styleId="HeaderChar">
    <w:name w:val="Header Char"/>
    <w:basedOn w:val="DefaultParagraphFont"/>
    <w:link w:val="Header"/>
    <w:rsid w:val="00CE4451"/>
  </w:style>
  <w:style w:type="paragraph" w:styleId="Footer">
    <w:name w:val="footer"/>
    <w:basedOn w:val="Normal"/>
    <w:link w:val="FooterChar"/>
    <w:uiPriority w:val="99"/>
    <w:semiHidden/>
    <w:unhideWhenUsed/>
    <w:rsid w:val="00CE4451"/>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E4451"/>
  </w:style>
</w:styles>
</file>

<file path=word/webSettings.xml><?xml version="1.0" encoding="utf-8"?>
<w:webSettings xmlns:r="http://schemas.openxmlformats.org/officeDocument/2006/relationships" xmlns:w="http://schemas.openxmlformats.org/wordprocessingml/2006/main">
  <w:divs>
    <w:div w:id="744306670">
      <w:bodyDiv w:val="1"/>
      <w:marLeft w:val="0"/>
      <w:marRight w:val="0"/>
      <w:marTop w:val="21"/>
      <w:marBottom w:val="522"/>
      <w:divBdr>
        <w:top w:val="none" w:sz="0" w:space="0" w:color="auto"/>
        <w:left w:val="none" w:sz="0" w:space="0" w:color="auto"/>
        <w:bottom w:val="none" w:sz="0" w:space="0" w:color="auto"/>
        <w:right w:val="none" w:sz="0" w:space="0" w:color="auto"/>
      </w:divBdr>
      <w:divsChild>
        <w:div w:id="391271801">
          <w:marLeft w:val="0"/>
          <w:marRight w:val="0"/>
          <w:marTop w:val="0"/>
          <w:marBottom w:val="0"/>
          <w:divBdr>
            <w:top w:val="none" w:sz="0" w:space="0" w:color="auto"/>
            <w:left w:val="none" w:sz="0" w:space="0" w:color="auto"/>
            <w:bottom w:val="none" w:sz="0" w:space="0" w:color="auto"/>
            <w:right w:val="none" w:sz="0" w:space="0" w:color="auto"/>
          </w:divBdr>
          <w:divsChild>
            <w:div w:id="1736850776">
              <w:marLeft w:val="0"/>
              <w:marRight w:val="0"/>
              <w:marTop w:val="0"/>
              <w:marBottom w:val="0"/>
              <w:divBdr>
                <w:top w:val="none" w:sz="0" w:space="0" w:color="auto"/>
                <w:left w:val="none" w:sz="0" w:space="0" w:color="auto"/>
                <w:bottom w:val="none" w:sz="0" w:space="0" w:color="auto"/>
                <w:right w:val="none" w:sz="0" w:space="0" w:color="auto"/>
              </w:divBdr>
            </w:div>
            <w:div w:id="1834107076">
              <w:marLeft w:val="0"/>
              <w:marRight w:val="0"/>
              <w:marTop w:val="0"/>
              <w:marBottom w:val="0"/>
              <w:divBdr>
                <w:top w:val="none" w:sz="0" w:space="0" w:color="auto"/>
                <w:left w:val="none" w:sz="0" w:space="0" w:color="auto"/>
                <w:bottom w:val="none" w:sz="0" w:space="0" w:color="auto"/>
                <w:right w:val="none" w:sz="0" w:space="0" w:color="auto"/>
              </w:divBdr>
            </w:div>
            <w:div w:id="773793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220346">
      <w:bodyDiv w:val="1"/>
      <w:marLeft w:val="0"/>
      <w:marRight w:val="0"/>
      <w:marTop w:val="21"/>
      <w:marBottom w:val="522"/>
      <w:divBdr>
        <w:top w:val="none" w:sz="0" w:space="0" w:color="auto"/>
        <w:left w:val="none" w:sz="0" w:space="0" w:color="auto"/>
        <w:bottom w:val="none" w:sz="0" w:space="0" w:color="auto"/>
        <w:right w:val="none" w:sz="0" w:space="0" w:color="auto"/>
      </w:divBdr>
      <w:divsChild>
        <w:div w:id="1889608202">
          <w:marLeft w:val="0"/>
          <w:marRight w:val="0"/>
          <w:marTop w:val="0"/>
          <w:marBottom w:val="0"/>
          <w:divBdr>
            <w:top w:val="none" w:sz="0" w:space="0" w:color="auto"/>
            <w:left w:val="none" w:sz="0" w:space="0" w:color="auto"/>
            <w:bottom w:val="none" w:sz="0" w:space="0" w:color="auto"/>
            <w:right w:val="none" w:sz="0" w:space="0" w:color="auto"/>
          </w:divBdr>
          <w:divsChild>
            <w:div w:id="1985230988">
              <w:marLeft w:val="0"/>
              <w:marRight w:val="0"/>
              <w:marTop w:val="0"/>
              <w:marBottom w:val="0"/>
              <w:divBdr>
                <w:top w:val="none" w:sz="0" w:space="0" w:color="auto"/>
                <w:left w:val="none" w:sz="0" w:space="0" w:color="auto"/>
                <w:bottom w:val="none" w:sz="0" w:space="0" w:color="auto"/>
                <w:right w:val="none" w:sz="0" w:space="0" w:color="auto"/>
              </w:divBdr>
            </w:div>
            <w:div w:id="1747341694">
              <w:marLeft w:val="0"/>
              <w:marRight w:val="0"/>
              <w:marTop w:val="0"/>
              <w:marBottom w:val="0"/>
              <w:divBdr>
                <w:top w:val="none" w:sz="0" w:space="0" w:color="auto"/>
                <w:left w:val="none" w:sz="0" w:space="0" w:color="auto"/>
                <w:bottom w:val="none" w:sz="0" w:space="0" w:color="auto"/>
                <w:right w:val="none" w:sz="0" w:space="0" w:color="auto"/>
              </w:divBdr>
            </w:div>
            <w:div w:id="1600288555">
              <w:marLeft w:val="0"/>
              <w:marRight w:val="0"/>
              <w:marTop w:val="0"/>
              <w:marBottom w:val="0"/>
              <w:divBdr>
                <w:top w:val="none" w:sz="0" w:space="0" w:color="auto"/>
                <w:left w:val="none" w:sz="0" w:space="0" w:color="auto"/>
                <w:bottom w:val="none" w:sz="0" w:space="0" w:color="auto"/>
                <w:right w:val="none" w:sz="0" w:space="0" w:color="auto"/>
              </w:divBdr>
            </w:div>
            <w:div w:id="1254241476">
              <w:marLeft w:val="0"/>
              <w:marRight w:val="0"/>
              <w:marTop w:val="0"/>
              <w:marBottom w:val="0"/>
              <w:divBdr>
                <w:top w:val="none" w:sz="0" w:space="0" w:color="auto"/>
                <w:left w:val="none" w:sz="0" w:space="0" w:color="auto"/>
                <w:bottom w:val="none" w:sz="0" w:space="0" w:color="auto"/>
                <w:right w:val="none" w:sz="0" w:space="0" w:color="auto"/>
              </w:divBdr>
            </w:div>
            <w:div w:id="1517883486">
              <w:marLeft w:val="0"/>
              <w:marRight w:val="0"/>
              <w:marTop w:val="0"/>
              <w:marBottom w:val="0"/>
              <w:divBdr>
                <w:top w:val="none" w:sz="0" w:space="0" w:color="auto"/>
                <w:left w:val="none" w:sz="0" w:space="0" w:color="auto"/>
                <w:bottom w:val="none" w:sz="0" w:space="0" w:color="auto"/>
                <w:right w:val="none" w:sz="0" w:space="0" w:color="auto"/>
              </w:divBdr>
            </w:div>
            <w:div w:id="1846090064">
              <w:marLeft w:val="0"/>
              <w:marRight w:val="0"/>
              <w:marTop w:val="0"/>
              <w:marBottom w:val="0"/>
              <w:divBdr>
                <w:top w:val="none" w:sz="0" w:space="0" w:color="auto"/>
                <w:left w:val="none" w:sz="0" w:space="0" w:color="auto"/>
                <w:bottom w:val="none" w:sz="0" w:space="0" w:color="auto"/>
                <w:right w:val="none" w:sz="0" w:space="0" w:color="auto"/>
              </w:divBdr>
            </w:div>
            <w:div w:id="503713847">
              <w:marLeft w:val="0"/>
              <w:marRight w:val="0"/>
              <w:marTop w:val="0"/>
              <w:marBottom w:val="0"/>
              <w:divBdr>
                <w:top w:val="none" w:sz="0" w:space="0" w:color="auto"/>
                <w:left w:val="none" w:sz="0" w:space="0" w:color="auto"/>
                <w:bottom w:val="none" w:sz="0" w:space="0" w:color="auto"/>
                <w:right w:val="none" w:sz="0" w:space="0" w:color="auto"/>
              </w:divBdr>
            </w:div>
            <w:div w:id="1548566218">
              <w:marLeft w:val="0"/>
              <w:marRight w:val="0"/>
              <w:marTop w:val="0"/>
              <w:marBottom w:val="0"/>
              <w:divBdr>
                <w:top w:val="none" w:sz="0" w:space="0" w:color="auto"/>
                <w:left w:val="none" w:sz="0" w:space="0" w:color="auto"/>
                <w:bottom w:val="none" w:sz="0" w:space="0" w:color="auto"/>
                <w:right w:val="none" w:sz="0" w:space="0" w:color="auto"/>
              </w:divBdr>
              <w:divsChild>
                <w:div w:id="230771846">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991983332">
              <w:marLeft w:val="0"/>
              <w:marRight w:val="0"/>
              <w:marTop w:val="0"/>
              <w:marBottom w:val="0"/>
              <w:divBdr>
                <w:top w:val="none" w:sz="0" w:space="0" w:color="auto"/>
                <w:left w:val="none" w:sz="0" w:space="0" w:color="auto"/>
                <w:bottom w:val="none" w:sz="0" w:space="0" w:color="auto"/>
                <w:right w:val="none" w:sz="0" w:space="0" w:color="auto"/>
              </w:divBdr>
              <w:divsChild>
                <w:div w:id="1964114216">
                  <w:marLeft w:val="0"/>
                  <w:marRight w:val="0"/>
                  <w:marTop w:val="0"/>
                  <w:marBottom w:val="0"/>
                  <w:divBdr>
                    <w:top w:val="none" w:sz="0" w:space="0" w:color="auto"/>
                    <w:left w:val="none" w:sz="0" w:space="0" w:color="auto"/>
                    <w:bottom w:val="none" w:sz="0" w:space="0" w:color="auto"/>
                    <w:right w:val="none" w:sz="0" w:space="0" w:color="auto"/>
                  </w:divBdr>
                </w:div>
                <w:div w:id="1528323636">
                  <w:marLeft w:val="0"/>
                  <w:marRight w:val="0"/>
                  <w:marTop w:val="0"/>
                  <w:marBottom w:val="0"/>
                  <w:divBdr>
                    <w:top w:val="single" w:sz="8" w:space="0" w:color="000000"/>
                    <w:left w:val="single" w:sz="8" w:space="0" w:color="000000"/>
                    <w:bottom w:val="single" w:sz="8" w:space="0" w:color="000000"/>
                    <w:right w:val="single" w:sz="8" w:space="0" w:color="000000"/>
                  </w:divBdr>
                </w:div>
                <w:div w:id="333992006">
                  <w:marLeft w:val="0"/>
                  <w:marRight w:val="0"/>
                  <w:marTop w:val="0"/>
                  <w:marBottom w:val="0"/>
                  <w:divBdr>
                    <w:top w:val="none" w:sz="0" w:space="0" w:color="auto"/>
                    <w:left w:val="none" w:sz="0" w:space="0" w:color="auto"/>
                    <w:bottom w:val="none" w:sz="0" w:space="0" w:color="auto"/>
                    <w:right w:val="none" w:sz="0" w:space="0" w:color="auto"/>
                  </w:divBdr>
                </w:div>
              </w:divsChild>
            </w:div>
            <w:div w:id="601258487">
              <w:marLeft w:val="0"/>
              <w:marRight w:val="0"/>
              <w:marTop w:val="0"/>
              <w:marBottom w:val="0"/>
              <w:divBdr>
                <w:top w:val="none" w:sz="0" w:space="0" w:color="auto"/>
                <w:left w:val="none" w:sz="0" w:space="0" w:color="auto"/>
                <w:bottom w:val="none" w:sz="0" w:space="0" w:color="auto"/>
                <w:right w:val="none" w:sz="0" w:space="0" w:color="auto"/>
              </w:divBdr>
              <w:divsChild>
                <w:div w:id="806505968">
                  <w:marLeft w:val="0"/>
                  <w:marRight w:val="0"/>
                  <w:marTop w:val="0"/>
                  <w:marBottom w:val="0"/>
                  <w:divBdr>
                    <w:top w:val="none" w:sz="0" w:space="0" w:color="auto"/>
                    <w:left w:val="none" w:sz="0" w:space="0" w:color="auto"/>
                    <w:bottom w:val="none" w:sz="0" w:space="0" w:color="auto"/>
                    <w:right w:val="none" w:sz="0" w:space="0" w:color="auto"/>
                  </w:divBdr>
                </w:div>
                <w:div w:id="298926426">
                  <w:marLeft w:val="0"/>
                  <w:marRight w:val="0"/>
                  <w:marTop w:val="0"/>
                  <w:marBottom w:val="0"/>
                  <w:divBdr>
                    <w:top w:val="single" w:sz="8" w:space="0" w:color="000000"/>
                    <w:left w:val="single" w:sz="8" w:space="0" w:color="000000"/>
                    <w:bottom w:val="single" w:sz="8" w:space="0" w:color="000000"/>
                    <w:right w:val="single" w:sz="8" w:space="0" w:color="000000"/>
                  </w:divBdr>
                </w:div>
                <w:div w:id="814294720">
                  <w:marLeft w:val="0"/>
                  <w:marRight w:val="0"/>
                  <w:marTop w:val="0"/>
                  <w:marBottom w:val="0"/>
                  <w:divBdr>
                    <w:top w:val="none" w:sz="0" w:space="0" w:color="auto"/>
                    <w:left w:val="none" w:sz="0" w:space="0" w:color="auto"/>
                    <w:bottom w:val="none" w:sz="0" w:space="0" w:color="auto"/>
                    <w:right w:val="none" w:sz="0" w:space="0" w:color="auto"/>
                  </w:divBdr>
                </w:div>
              </w:divsChild>
            </w:div>
            <w:div w:id="1286039961">
              <w:marLeft w:val="0"/>
              <w:marRight w:val="0"/>
              <w:marTop w:val="0"/>
              <w:marBottom w:val="0"/>
              <w:divBdr>
                <w:top w:val="none" w:sz="0" w:space="0" w:color="auto"/>
                <w:left w:val="none" w:sz="0" w:space="0" w:color="auto"/>
                <w:bottom w:val="none" w:sz="0" w:space="0" w:color="auto"/>
                <w:right w:val="none" w:sz="0" w:space="0" w:color="auto"/>
              </w:divBdr>
              <w:divsChild>
                <w:div w:id="723873341">
                  <w:marLeft w:val="0"/>
                  <w:marRight w:val="0"/>
                  <w:marTop w:val="0"/>
                  <w:marBottom w:val="0"/>
                  <w:divBdr>
                    <w:top w:val="none" w:sz="0" w:space="0" w:color="auto"/>
                    <w:left w:val="none" w:sz="0" w:space="0" w:color="auto"/>
                    <w:bottom w:val="none" w:sz="0" w:space="0" w:color="auto"/>
                    <w:right w:val="none" w:sz="0" w:space="0" w:color="auto"/>
                  </w:divBdr>
                </w:div>
                <w:div w:id="1199467423">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2141218313">
              <w:marLeft w:val="0"/>
              <w:marRight w:val="0"/>
              <w:marTop w:val="0"/>
              <w:marBottom w:val="0"/>
              <w:divBdr>
                <w:top w:val="none" w:sz="0" w:space="0" w:color="auto"/>
                <w:left w:val="none" w:sz="0" w:space="0" w:color="auto"/>
                <w:bottom w:val="none" w:sz="0" w:space="0" w:color="auto"/>
                <w:right w:val="none" w:sz="0" w:space="0" w:color="auto"/>
              </w:divBdr>
              <w:divsChild>
                <w:div w:id="1013262871">
                  <w:marLeft w:val="0"/>
                  <w:marRight w:val="0"/>
                  <w:marTop w:val="0"/>
                  <w:marBottom w:val="0"/>
                  <w:divBdr>
                    <w:top w:val="none" w:sz="0" w:space="0" w:color="auto"/>
                    <w:left w:val="none" w:sz="0" w:space="0" w:color="auto"/>
                    <w:bottom w:val="none" w:sz="0" w:space="0" w:color="auto"/>
                    <w:right w:val="none" w:sz="0" w:space="0" w:color="auto"/>
                  </w:divBdr>
                </w:div>
                <w:div w:id="1490631968">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1423918641">
              <w:marLeft w:val="0"/>
              <w:marRight w:val="0"/>
              <w:marTop w:val="0"/>
              <w:marBottom w:val="0"/>
              <w:divBdr>
                <w:top w:val="none" w:sz="0" w:space="0" w:color="auto"/>
                <w:left w:val="none" w:sz="0" w:space="0" w:color="auto"/>
                <w:bottom w:val="none" w:sz="0" w:space="0" w:color="auto"/>
                <w:right w:val="none" w:sz="0" w:space="0" w:color="auto"/>
              </w:divBdr>
              <w:divsChild>
                <w:div w:id="546911425">
                  <w:marLeft w:val="0"/>
                  <w:marRight w:val="0"/>
                  <w:marTop w:val="0"/>
                  <w:marBottom w:val="0"/>
                  <w:divBdr>
                    <w:top w:val="none" w:sz="0" w:space="0" w:color="auto"/>
                    <w:left w:val="none" w:sz="0" w:space="0" w:color="auto"/>
                    <w:bottom w:val="none" w:sz="0" w:space="0" w:color="auto"/>
                    <w:right w:val="none" w:sz="0" w:space="0" w:color="auto"/>
                  </w:divBdr>
                </w:div>
                <w:div w:id="1558392003">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915823247">
              <w:marLeft w:val="0"/>
              <w:marRight w:val="0"/>
              <w:marTop w:val="0"/>
              <w:marBottom w:val="0"/>
              <w:divBdr>
                <w:top w:val="none" w:sz="0" w:space="0" w:color="auto"/>
                <w:left w:val="none" w:sz="0" w:space="0" w:color="auto"/>
                <w:bottom w:val="none" w:sz="0" w:space="0" w:color="auto"/>
                <w:right w:val="none" w:sz="0" w:space="0" w:color="auto"/>
              </w:divBdr>
              <w:divsChild>
                <w:div w:id="1955360234">
                  <w:marLeft w:val="0"/>
                  <w:marRight w:val="0"/>
                  <w:marTop w:val="0"/>
                  <w:marBottom w:val="0"/>
                  <w:divBdr>
                    <w:top w:val="none" w:sz="0" w:space="0" w:color="auto"/>
                    <w:left w:val="none" w:sz="0" w:space="0" w:color="auto"/>
                    <w:bottom w:val="none" w:sz="0" w:space="0" w:color="auto"/>
                    <w:right w:val="none" w:sz="0" w:space="0" w:color="auto"/>
                  </w:divBdr>
                </w:div>
                <w:div w:id="1676423169">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414865063">
              <w:marLeft w:val="0"/>
              <w:marRight w:val="0"/>
              <w:marTop w:val="0"/>
              <w:marBottom w:val="0"/>
              <w:divBdr>
                <w:top w:val="none" w:sz="0" w:space="0" w:color="auto"/>
                <w:left w:val="none" w:sz="0" w:space="0" w:color="auto"/>
                <w:bottom w:val="none" w:sz="0" w:space="0" w:color="auto"/>
                <w:right w:val="none" w:sz="0" w:space="0" w:color="auto"/>
              </w:divBdr>
              <w:divsChild>
                <w:div w:id="1160191417">
                  <w:marLeft w:val="0"/>
                  <w:marRight w:val="0"/>
                  <w:marTop w:val="0"/>
                  <w:marBottom w:val="0"/>
                  <w:divBdr>
                    <w:top w:val="none" w:sz="0" w:space="0" w:color="auto"/>
                    <w:left w:val="none" w:sz="0" w:space="0" w:color="auto"/>
                    <w:bottom w:val="none" w:sz="0" w:space="0" w:color="auto"/>
                    <w:right w:val="none" w:sz="0" w:space="0" w:color="auto"/>
                  </w:divBdr>
                </w:div>
                <w:div w:id="1550800022">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174463972">
              <w:marLeft w:val="0"/>
              <w:marRight w:val="0"/>
              <w:marTop w:val="0"/>
              <w:marBottom w:val="0"/>
              <w:divBdr>
                <w:top w:val="none" w:sz="0" w:space="0" w:color="auto"/>
                <w:left w:val="none" w:sz="0" w:space="0" w:color="auto"/>
                <w:bottom w:val="none" w:sz="0" w:space="0" w:color="auto"/>
                <w:right w:val="none" w:sz="0" w:space="0" w:color="auto"/>
              </w:divBdr>
              <w:divsChild>
                <w:div w:id="1991858305">
                  <w:marLeft w:val="0"/>
                  <w:marRight w:val="0"/>
                  <w:marTop w:val="0"/>
                  <w:marBottom w:val="0"/>
                  <w:divBdr>
                    <w:top w:val="none" w:sz="0" w:space="0" w:color="auto"/>
                    <w:left w:val="none" w:sz="0" w:space="0" w:color="auto"/>
                    <w:bottom w:val="none" w:sz="0" w:space="0" w:color="auto"/>
                    <w:right w:val="none" w:sz="0" w:space="0" w:color="auto"/>
                  </w:divBdr>
                </w:div>
                <w:div w:id="1827503703">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24333616">
              <w:marLeft w:val="0"/>
              <w:marRight w:val="0"/>
              <w:marTop w:val="0"/>
              <w:marBottom w:val="0"/>
              <w:divBdr>
                <w:top w:val="none" w:sz="0" w:space="0" w:color="auto"/>
                <w:left w:val="none" w:sz="0" w:space="0" w:color="auto"/>
                <w:bottom w:val="none" w:sz="0" w:space="0" w:color="auto"/>
                <w:right w:val="none" w:sz="0" w:space="0" w:color="auto"/>
              </w:divBdr>
              <w:divsChild>
                <w:div w:id="475804419">
                  <w:marLeft w:val="0"/>
                  <w:marRight w:val="0"/>
                  <w:marTop w:val="0"/>
                  <w:marBottom w:val="0"/>
                  <w:divBdr>
                    <w:top w:val="none" w:sz="0" w:space="0" w:color="auto"/>
                    <w:left w:val="none" w:sz="0" w:space="0" w:color="auto"/>
                    <w:bottom w:val="none" w:sz="0" w:space="0" w:color="auto"/>
                    <w:right w:val="none" w:sz="0" w:space="0" w:color="auto"/>
                  </w:divBdr>
                </w:div>
                <w:div w:id="292178042">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1230767853">
              <w:marLeft w:val="0"/>
              <w:marRight w:val="0"/>
              <w:marTop w:val="0"/>
              <w:marBottom w:val="0"/>
              <w:divBdr>
                <w:top w:val="none" w:sz="0" w:space="0" w:color="auto"/>
                <w:left w:val="none" w:sz="0" w:space="0" w:color="auto"/>
                <w:bottom w:val="none" w:sz="0" w:space="0" w:color="auto"/>
                <w:right w:val="none" w:sz="0" w:space="0" w:color="auto"/>
              </w:divBdr>
              <w:divsChild>
                <w:div w:id="1246260483">
                  <w:marLeft w:val="0"/>
                  <w:marRight w:val="0"/>
                  <w:marTop w:val="0"/>
                  <w:marBottom w:val="0"/>
                  <w:divBdr>
                    <w:top w:val="none" w:sz="0" w:space="0" w:color="auto"/>
                    <w:left w:val="none" w:sz="0" w:space="0" w:color="auto"/>
                    <w:bottom w:val="none" w:sz="0" w:space="0" w:color="auto"/>
                    <w:right w:val="none" w:sz="0" w:space="0" w:color="auto"/>
                  </w:divBdr>
                </w:div>
                <w:div w:id="1001275151">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2051804099">
              <w:marLeft w:val="0"/>
              <w:marRight w:val="0"/>
              <w:marTop w:val="0"/>
              <w:marBottom w:val="0"/>
              <w:divBdr>
                <w:top w:val="none" w:sz="0" w:space="0" w:color="auto"/>
                <w:left w:val="none" w:sz="0" w:space="0" w:color="auto"/>
                <w:bottom w:val="none" w:sz="0" w:space="0" w:color="auto"/>
                <w:right w:val="none" w:sz="0" w:space="0" w:color="auto"/>
              </w:divBdr>
              <w:divsChild>
                <w:div w:id="1159805342">
                  <w:marLeft w:val="0"/>
                  <w:marRight w:val="0"/>
                  <w:marTop w:val="0"/>
                  <w:marBottom w:val="0"/>
                  <w:divBdr>
                    <w:top w:val="none" w:sz="0" w:space="0" w:color="auto"/>
                    <w:left w:val="none" w:sz="0" w:space="0" w:color="auto"/>
                    <w:bottom w:val="none" w:sz="0" w:space="0" w:color="auto"/>
                    <w:right w:val="none" w:sz="0" w:space="0" w:color="auto"/>
                  </w:divBdr>
                </w:div>
                <w:div w:id="95903934">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361979966">
              <w:marLeft w:val="0"/>
              <w:marRight w:val="0"/>
              <w:marTop w:val="0"/>
              <w:marBottom w:val="0"/>
              <w:divBdr>
                <w:top w:val="none" w:sz="0" w:space="0" w:color="auto"/>
                <w:left w:val="none" w:sz="0" w:space="0" w:color="auto"/>
                <w:bottom w:val="none" w:sz="0" w:space="0" w:color="auto"/>
                <w:right w:val="none" w:sz="0" w:space="0" w:color="auto"/>
              </w:divBdr>
              <w:divsChild>
                <w:div w:id="952008321">
                  <w:marLeft w:val="0"/>
                  <w:marRight w:val="0"/>
                  <w:marTop w:val="0"/>
                  <w:marBottom w:val="0"/>
                  <w:divBdr>
                    <w:top w:val="none" w:sz="0" w:space="0" w:color="auto"/>
                    <w:left w:val="none" w:sz="0" w:space="0" w:color="auto"/>
                    <w:bottom w:val="none" w:sz="0" w:space="0" w:color="auto"/>
                    <w:right w:val="none" w:sz="0" w:space="0" w:color="auto"/>
                  </w:divBdr>
                </w:div>
                <w:div w:id="966475064">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1490748010">
              <w:marLeft w:val="0"/>
              <w:marRight w:val="0"/>
              <w:marTop w:val="0"/>
              <w:marBottom w:val="0"/>
              <w:divBdr>
                <w:top w:val="none" w:sz="0" w:space="0" w:color="auto"/>
                <w:left w:val="none" w:sz="0" w:space="0" w:color="auto"/>
                <w:bottom w:val="none" w:sz="0" w:space="0" w:color="auto"/>
                <w:right w:val="none" w:sz="0" w:space="0" w:color="auto"/>
              </w:divBdr>
              <w:divsChild>
                <w:div w:id="1513454500">
                  <w:marLeft w:val="0"/>
                  <w:marRight w:val="0"/>
                  <w:marTop w:val="0"/>
                  <w:marBottom w:val="0"/>
                  <w:divBdr>
                    <w:top w:val="none" w:sz="0" w:space="0" w:color="auto"/>
                    <w:left w:val="none" w:sz="0" w:space="0" w:color="auto"/>
                    <w:bottom w:val="none" w:sz="0" w:space="0" w:color="auto"/>
                    <w:right w:val="none" w:sz="0" w:space="0" w:color="auto"/>
                  </w:divBdr>
                </w:div>
                <w:div w:id="1745250447">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1808013076">
              <w:marLeft w:val="0"/>
              <w:marRight w:val="0"/>
              <w:marTop w:val="0"/>
              <w:marBottom w:val="0"/>
              <w:divBdr>
                <w:top w:val="none" w:sz="0" w:space="0" w:color="auto"/>
                <w:left w:val="none" w:sz="0" w:space="0" w:color="auto"/>
                <w:bottom w:val="none" w:sz="0" w:space="0" w:color="auto"/>
                <w:right w:val="none" w:sz="0" w:space="0" w:color="auto"/>
              </w:divBdr>
              <w:divsChild>
                <w:div w:id="880826854">
                  <w:marLeft w:val="0"/>
                  <w:marRight w:val="0"/>
                  <w:marTop w:val="0"/>
                  <w:marBottom w:val="0"/>
                  <w:divBdr>
                    <w:top w:val="none" w:sz="0" w:space="0" w:color="auto"/>
                    <w:left w:val="none" w:sz="0" w:space="0" w:color="auto"/>
                    <w:bottom w:val="none" w:sz="0" w:space="0" w:color="auto"/>
                    <w:right w:val="none" w:sz="0" w:space="0" w:color="auto"/>
                  </w:divBdr>
                </w:div>
                <w:div w:id="2025783482">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1796561643">
              <w:marLeft w:val="0"/>
              <w:marRight w:val="0"/>
              <w:marTop w:val="0"/>
              <w:marBottom w:val="0"/>
              <w:divBdr>
                <w:top w:val="none" w:sz="0" w:space="0" w:color="auto"/>
                <w:left w:val="none" w:sz="0" w:space="0" w:color="auto"/>
                <w:bottom w:val="none" w:sz="0" w:space="0" w:color="auto"/>
                <w:right w:val="none" w:sz="0" w:space="0" w:color="auto"/>
              </w:divBdr>
              <w:divsChild>
                <w:div w:id="1512262688">
                  <w:marLeft w:val="0"/>
                  <w:marRight w:val="0"/>
                  <w:marTop w:val="0"/>
                  <w:marBottom w:val="0"/>
                  <w:divBdr>
                    <w:top w:val="none" w:sz="0" w:space="0" w:color="auto"/>
                    <w:left w:val="none" w:sz="0" w:space="0" w:color="auto"/>
                    <w:bottom w:val="none" w:sz="0" w:space="0" w:color="auto"/>
                    <w:right w:val="none" w:sz="0" w:space="0" w:color="auto"/>
                  </w:divBdr>
                </w:div>
                <w:div w:id="168909010">
                  <w:marLeft w:val="0"/>
                  <w:marRight w:val="0"/>
                  <w:marTop w:val="0"/>
                  <w:marBottom w:val="0"/>
                  <w:divBdr>
                    <w:top w:val="single" w:sz="8" w:space="0" w:color="000000"/>
                    <w:left w:val="single" w:sz="8" w:space="0" w:color="000000"/>
                    <w:bottom w:val="single" w:sz="8" w:space="0" w:color="000000"/>
                    <w:right w:val="single" w:sz="8" w:space="0" w:color="000000"/>
                  </w:divBdr>
                </w:div>
                <w:div w:id="240528990">
                  <w:marLeft w:val="0"/>
                  <w:marRight w:val="0"/>
                  <w:marTop w:val="0"/>
                  <w:marBottom w:val="0"/>
                  <w:divBdr>
                    <w:top w:val="none" w:sz="0" w:space="0" w:color="auto"/>
                    <w:left w:val="none" w:sz="0" w:space="0" w:color="auto"/>
                    <w:bottom w:val="none" w:sz="0" w:space="0" w:color="auto"/>
                    <w:right w:val="none" w:sz="0" w:space="0" w:color="auto"/>
                  </w:divBdr>
                </w:div>
              </w:divsChild>
            </w:div>
            <w:div w:id="433479856">
              <w:marLeft w:val="0"/>
              <w:marRight w:val="0"/>
              <w:marTop w:val="0"/>
              <w:marBottom w:val="0"/>
              <w:divBdr>
                <w:top w:val="none" w:sz="0" w:space="0" w:color="auto"/>
                <w:left w:val="none" w:sz="0" w:space="0" w:color="auto"/>
                <w:bottom w:val="none" w:sz="0" w:space="0" w:color="auto"/>
                <w:right w:val="none" w:sz="0" w:space="0" w:color="auto"/>
              </w:divBdr>
            </w:div>
            <w:div w:id="1730156166">
              <w:marLeft w:val="0"/>
              <w:marRight w:val="0"/>
              <w:marTop w:val="0"/>
              <w:marBottom w:val="0"/>
              <w:divBdr>
                <w:top w:val="none" w:sz="0" w:space="0" w:color="auto"/>
                <w:left w:val="none" w:sz="0" w:space="0" w:color="auto"/>
                <w:bottom w:val="none" w:sz="0" w:space="0" w:color="auto"/>
                <w:right w:val="none" w:sz="0" w:space="0" w:color="auto"/>
              </w:divBdr>
            </w:div>
            <w:div w:id="508450892">
              <w:marLeft w:val="0"/>
              <w:marRight w:val="0"/>
              <w:marTop w:val="0"/>
              <w:marBottom w:val="0"/>
              <w:divBdr>
                <w:top w:val="none" w:sz="0" w:space="0" w:color="auto"/>
                <w:left w:val="none" w:sz="0" w:space="0" w:color="auto"/>
                <w:bottom w:val="none" w:sz="0" w:space="0" w:color="auto"/>
                <w:right w:val="none" w:sz="0" w:space="0" w:color="auto"/>
              </w:divBdr>
            </w:div>
            <w:div w:id="407264654">
              <w:marLeft w:val="0"/>
              <w:marRight w:val="0"/>
              <w:marTop w:val="0"/>
              <w:marBottom w:val="0"/>
              <w:divBdr>
                <w:top w:val="none" w:sz="0" w:space="0" w:color="auto"/>
                <w:left w:val="none" w:sz="0" w:space="0" w:color="auto"/>
                <w:bottom w:val="none" w:sz="0" w:space="0" w:color="auto"/>
                <w:right w:val="none" w:sz="0" w:space="0" w:color="auto"/>
              </w:divBdr>
              <w:divsChild>
                <w:div w:id="47804156">
                  <w:marLeft w:val="0"/>
                  <w:marRight w:val="0"/>
                  <w:marTop w:val="230"/>
                  <w:marBottom w:val="0"/>
                  <w:divBdr>
                    <w:top w:val="single" w:sz="4" w:space="0" w:color="000000"/>
                    <w:left w:val="none" w:sz="0" w:space="0" w:color="auto"/>
                    <w:bottom w:val="none" w:sz="0" w:space="0" w:color="auto"/>
                    <w:right w:val="none" w:sz="0" w:space="0" w:color="auto"/>
                  </w:divBdr>
                </w:div>
                <w:div w:id="1939288960">
                  <w:marLeft w:val="0"/>
                  <w:marRight w:val="0"/>
                  <w:marTop w:val="230"/>
                  <w:marBottom w:val="0"/>
                  <w:divBdr>
                    <w:top w:val="single" w:sz="4" w:space="0" w:color="000000"/>
                    <w:left w:val="none" w:sz="0" w:space="0" w:color="auto"/>
                    <w:bottom w:val="none" w:sz="0" w:space="0" w:color="auto"/>
                    <w:right w:val="none" w:sz="0" w:space="0" w:color="auto"/>
                  </w:divBdr>
                </w:div>
                <w:div w:id="1010067333">
                  <w:marLeft w:val="0"/>
                  <w:marRight w:val="0"/>
                  <w:marTop w:val="230"/>
                  <w:marBottom w:val="0"/>
                  <w:divBdr>
                    <w:top w:val="single" w:sz="4" w:space="0" w:color="000000"/>
                    <w:left w:val="none" w:sz="0" w:space="0" w:color="auto"/>
                    <w:bottom w:val="none" w:sz="0" w:space="0" w:color="auto"/>
                    <w:right w:val="none" w:sz="0" w:space="0" w:color="auto"/>
                  </w:divBdr>
                </w:div>
                <w:div w:id="230779424">
                  <w:marLeft w:val="0"/>
                  <w:marRight w:val="0"/>
                  <w:marTop w:val="230"/>
                  <w:marBottom w:val="0"/>
                  <w:divBdr>
                    <w:top w:val="single" w:sz="4" w:space="0" w:color="000000"/>
                    <w:left w:val="none" w:sz="0" w:space="0" w:color="auto"/>
                    <w:bottom w:val="none" w:sz="0" w:space="0" w:color="auto"/>
                    <w:right w:val="none" w:sz="0" w:space="0" w:color="auto"/>
                  </w:divBdr>
                </w:div>
                <w:div w:id="1826242348">
                  <w:marLeft w:val="0"/>
                  <w:marRight w:val="0"/>
                  <w:marTop w:val="0"/>
                  <w:marBottom w:val="0"/>
                  <w:divBdr>
                    <w:top w:val="none" w:sz="0" w:space="0" w:color="auto"/>
                    <w:left w:val="none" w:sz="0" w:space="0" w:color="auto"/>
                    <w:bottom w:val="none" w:sz="0" w:space="0" w:color="auto"/>
                    <w:right w:val="none" w:sz="0" w:space="0" w:color="auto"/>
                  </w:divBdr>
                  <w:divsChild>
                    <w:div w:id="1744178867">
                      <w:marLeft w:val="0"/>
                      <w:marRight w:val="0"/>
                      <w:marTop w:val="0"/>
                      <w:marBottom w:val="0"/>
                      <w:divBdr>
                        <w:top w:val="single" w:sz="8" w:space="0" w:color="000000"/>
                        <w:left w:val="single" w:sz="8" w:space="0" w:color="000000"/>
                        <w:bottom w:val="single" w:sz="8" w:space="0" w:color="000000"/>
                        <w:right w:val="single" w:sz="8" w:space="0" w:color="000000"/>
                      </w:divBdr>
                    </w:div>
                    <w:div w:id="2069574696">
                      <w:marLeft w:val="0"/>
                      <w:marRight w:val="0"/>
                      <w:marTop w:val="0"/>
                      <w:marBottom w:val="0"/>
                      <w:divBdr>
                        <w:top w:val="none" w:sz="0" w:space="0" w:color="auto"/>
                        <w:left w:val="none" w:sz="0" w:space="0" w:color="auto"/>
                        <w:bottom w:val="none" w:sz="0" w:space="0" w:color="auto"/>
                        <w:right w:val="none" w:sz="0" w:space="0" w:color="auto"/>
                      </w:divBdr>
                    </w:div>
                  </w:divsChild>
                </w:div>
                <w:div w:id="247232739">
                  <w:marLeft w:val="0"/>
                  <w:marRight w:val="0"/>
                  <w:marTop w:val="230"/>
                  <w:marBottom w:val="0"/>
                  <w:divBdr>
                    <w:top w:val="single" w:sz="4" w:space="0" w:color="000000"/>
                    <w:left w:val="none" w:sz="0" w:space="0" w:color="auto"/>
                    <w:bottom w:val="none" w:sz="0" w:space="0" w:color="auto"/>
                    <w:right w:val="none" w:sz="0" w:space="0" w:color="auto"/>
                  </w:divBdr>
                </w:div>
                <w:div w:id="1098133065">
                  <w:marLeft w:val="0"/>
                  <w:marRight w:val="0"/>
                  <w:marTop w:val="230"/>
                  <w:marBottom w:val="0"/>
                  <w:divBdr>
                    <w:top w:val="single" w:sz="4" w:space="0" w:color="000000"/>
                    <w:left w:val="none" w:sz="0" w:space="0" w:color="auto"/>
                    <w:bottom w:val="none" w:sz="0" w:space="0" w:color="auto"/>
                    <w:right w:val="none" w:sz="0" w:space="0" w:color="auto"/>
                  </w:divBdr>
                </w:div>
                <w:div w:id="795684894">
                  <w:marLeft w:val="0"/>
                  <w:marRight w:val="0"/>
                  <w:marTop w:val="230"/>
                  <w:marBottom w:val="0"/>
                  <w:divBdr>
                    <w:top w:val="single" w:sz="4" w:space="0" w:color="000000"/>
                    <w:left w:val="none" w:sz="0" w:space="0" w:color="auto"/>
                    <w:bottom w:val="none" w:sz="0" w:space="0" w:color="auto"/>
                    <w:right w:val="none" w:sz="0" w:space="0" w:color="auto"/>
                  </w:divBdr>
                </w:div>
                <w:div w:id="2144076677">
                  <w:marLeft w:val="0"/>
                  <w:marRight w:val="0"/>
                  <w:marTop w:val="230"/>
                  <w:marBottom w:val="0"/>
                  <w:divBdr>
                    <w:top w:val="single" w:sz="4" w:space="0" w:color="000000"/>
                    <w:left w:val="none" w:sz="0" w:space="0" w:color="auto"/>
                    <w:bottom w:val="none" w:sz="0" w:space="0" w:color="auto"/>
                    <w:right w:val="none" w:sz="0" w:space="0" w:color="auto"/>
                  </w:divBdr>
                </w:div>
              </w:divsChild>
            </w:div>
            <w:div w:id="1077627804">
              <w:marLeft w:val="0"/>
              <w:marRight w:val="0"/>
              <w:marTop w:val="0"/>
              <w:marBottom w:val="0"/>
              <w:divBdr>
                <w:top w:val="none" w:sz="0" w:space="0" w:color="auto"/>
                <w:left w:val="none" w:sz="0" w:space="0" w:color="auto"/>
                <w:bottom w:val="none" w:sz="0" w:space="0" w:color="auto"/>
                <w:right w:val="none" w:sz="0" w:space="0" w:color="auto"/>
              </w:divBdr>
            </w:div>
            <w:div w:id="1007824809">
              <w:marLeft w:val="0"/>
              <w:marRight w:val="0"/>
              <w:marTop w:val="0"/>
              <w:marBottom w:val="0"/>
              <w:divBdr>
                <w:top w:val="none" w:sz="0" w:space="0" w:color="auto"/>
                <w:left w:val="none" w:sz="0" w:space="0" w:color="auto"/>
                <w:bottom w:val="none" w:sz="0" w:space="0" w:color="auto"/>
                <w:right w:val="none" w:sz="0" w:space="0" w:color="auto"/>
              </w:divBdr>
            </w:div>
            <w:div w:id="2108305172">
              <w:marLeft w:val="0"/>
              <w:marRight w:val="0"/>
              <w:marTop w:val="0"/>
              <w:marBottom w:val="0"/>
              <w:divBdr>
                <w:top w:val="none" w:sz="0" w:space="0" w:color="auto"/>
                <w:left w:val="none" w:sz="0" w:space="0" w:color="auto"/>
                <w:bottom w:val="none" w:sz="0" w:space="0" w:color="auto"/>
                <w:right w:val="none" w:sz="0" w:space="0" w:color="auto"/>
              </w:divBdr>
            </w:div>
            <w:div w:id="541282994">
              <w:marLeft w:val="0"/>
              <w:marRight w:val="0"/>
              <w:marTop w:val="0"/>
              <w:marBottom w:val="0"/>
              <w:divBdr>
                <w:top w:val="none" w:sz="0" w:space="0" w:color="auto"/>
                <w:left w:val="none" w:sz="0" w:space="0" w:color="auto"/>
                <w:bottom w:val="none" w:sz="0" w:space="0" w:color="auto"/>
                <w:right w:val="none" w:sz="0" w:space="0" w:color="auto"/>
              </w:divBdr>
            </w:div>
            <w:div w:id="484205873">
              <w:marLeft w:val="0"/>
              <w:marRight w:val="0"/>
              <w:marTop w:val="0"/>
              <w:marBottom w:val="0"/>
              <w:divBdr>
                <w:top w:val="none" w:sz="0" w:space="0" w:color="auto"/>
                <w:left w:val="none" w:sz="0" w:space="0" w:color="auto"/>
                <w:bottom w:val="none" w:sz="0" w:space="0" w:color="auto"/>
                <w:right w:val="none" w:sz="0" w:space="0" w:color="auto"/>
              </w:divBdr>
            </w:div>
            <w:div w:id="845174224">
              <w:marLeft w:val="0"/>
              <w:marRight w:val="0"/>
              <w:marTop w:val="0"/>
              <w:marBottom w:val="0"/>
              <w:divBdr>
                <w:top w:val="none" w:sz="0" w:space="0" w:color="auto"/>
                <w:left w:val="none" w:sz="0" w:space="0" w:color="auto"/>
                <w:bottom w:val="none" w:sz="0" w:space="0" w:color="auto"/>
                <w:right w:val="none" w:sz="0" w:space="0" w:color="auto"/>
              </w:divBdr>
            </w:div>
            <w:div w:id="534466319">
              <w:marLeft w:val="0"/>
              <w:marRight w:val="0"/>
              <w:marTop w:val="0"/>
              <w:marBottom w:val="0"/>
              <w:divBdr>
                <w:top w:val="none" w:sz="0" w:space="0" w:color="auto"/>
                <w:left w:val="none" w:sz="0" w:space="0" w:color="auto"/>
                <w:bottom w:val="none" w:sz="0" w:space="0" w:color="auto"/>
                <w:right w:val="none" w:sz="0" w:space="0" w:color="auto"/>
              </w:divBdr>
            </w:div>
            <w:div w:id="403189070">
              <w:marLeft w:val="0"/>
              <w:marRight w:val="0"/>
              <w:marTop w:val="0"/>
              <w:marBottom w:val="0"/>
              <w:divBdr>
                <w:top w:val="none" w:sz="0" w:space="0" w:color="auto"/>
                <w:left w:val="none" w:sz="0" w:space="0" w:color="auto"/>
                <w:bottom w:val="none" w:sz="0" w:space="0" w:color="auto"/>
                <w:right w:val="none" w:sz="0" w:space="0" w:color="auto"/>
              </w:divBdr>
            </w:div>
            <w:div w:id="326791824">
              <w:marLeft w:val="0"/>
              <w:marRight w:val="0"/>
              <w:marTop w:val="0"/>
              <w:marBottom w:val="0"/>
              <w:divBdr>
                <w:top w:val="none" w:sz="0" w:space="0" w:color="auto"/>
                <w:left w:val="none" w:sz="0" w:space="0" w:color="auto"/>
                <w:bottom w:val="none" w:sz="0" w:space="0" w:color="auto"/>
                <w:right w:val="none" w:sz="0" w:space="0" w:color="auto"/>
              </w:divBdr>
            </w:div>
            <w:div w:id="1887646267">
              <w:marLeft w:val="0"/>
              <w:marRight w:val="0"/>
              <w:marTop w:val="0"/>
              <w:marBottom w:val="0"/>
              <w:divBdr>
                <w:top w:val="none" w:sz="0" w:space="0" w:color="auto"/>
                <w:left w:val="none" w:sz="0" w:space="0" w:color="auto"/>
                <w:bottom w:val="none" w:sz="0" w:space="0" w:color="auto"/>
                <w:right w:val="none" w:sz="0" w:space="0" w:color="auto"/>
              </w:divBdr>
              <w:divsChild>
                <w:div w:id="675421235">
                  <w:marLeft w:val="0"/>
                  <w:marRight w:val="0"/>
                  <w:marTop w:val="0"/>
                  <w:marBottom w:val="0"/>
                  <w:divBdr>
                    <w:top w:val="none" w:sz="0" w:space="0" w:color="auto"/>
                    <w:left w:val="none" w:sz="0" w:space="0" w:color="auto"/>
                    <w:bottom w:val="none" w:sz="0" w:space="0" w:color="auto"/>
                    <w:right w:val="none" w:sz="0" w:space="0" w:color="auto"/>
                  </w:divBdr>
                </w:div>
                <w:div w:id="1766464715">
                  <w:marLeft w:val="0"/>
                  <w:marRight w:val="0"/>
                  <w:marTop w:val="0"/>
                  <w:marBottom w:val="0"/>
                  <w:divBdr>
                    <w:top w:val="single" w:sz="8" w:space="0" w:color="000000"/>
                    <w:left w:val="single" w:sz="8" w:space="0" w:color="000000"/>
                    <w:bottom w:val="single" w:sz="8" w:space="0" w:color="000000"/>
                    <w:right w:val="single" w:sz="8" w:space="0" w:color="000000"/>
                  </w:divBdr>
                </w:div>
                <w:div w:id="548567555">
                  <w:marLeft w:val="0"/>
                  <w:marRight w:val="0"/>
                  <w:marTop w:val="0"/>
                  <w:marBottom w:val="0"/>
                  <w:divBdr>
                    <w:top w:val="none" w:sz="0" w:space="0" w:color="auto"/>
                    <w:left w:val="none" w:sz="0" w:space="0" w:color="auto"/>
                    <w:bottom w:val="none" w:sz="0" w:space="0" w:color="auto"/>
                    <w:right w:val="none" w:sz="0" w:space="0" w:color="auto"/>
                  </w:divBdr>
                </w:div>
              </w:divsChild>
            </w:div>
            <w:div w:id="452871811">
              <w:marLeft w:val="0"/>
              <w:marRight w:val="0"/>
              <w:marTop w:val="0"/>
              <w:marBottom w:val="0"/>
              <w:divBdr>
                <w:top w:val="none" w:sz="0" w:space="0" w:color="auto"/>
                <w:left w:val="none" w:sz="0" w:space="0" w:color="auto"/>
                <w:bottom w:val="none" w:sz="0" w:space="0" w:color="auto"/>
                <w:right w:val="none" w:sz="0" w:space="0" w:color="auto"/>
              </w:divBdr>
            </w:div>
            <w:div w:id="451556144">
              <w:marLeft w:val="0"/>
              <w:marRight w:val="0"/>
              <w:marTop w:val="0"/>
              <w:marBottom w:val="0"/>
              <w:divBdr>
                <w:top w:val="none" w:sz="0" w:space="0" w:color="auto"/>
                <w:left w:val="none" w:sz="0" w:space="0" w:color="auto"/>
                <w:bottom w:val="none" w:sz="0" w:space="0" w:color="auto"/>
                <w:right w:val="none" w:sz="0" w:space="0" w:color="auto"/>
              </w:divBdr>
            </w:div>
            <w:div w:id="1252275741">
              <w:marLeft w:val="0"/>
              <w:marRight w:val="0"/>
              <w:marTop w:val="0"/>
              <w:marBottom w:val="0"/>
              <w:divBdr>
                <w:top w:val="none" w:sz="0" w:space="0" w:color="auto"/>
                <w:left w:val="none" w:sz="0" w:space="0" w:color="auto"/>
                <w:bottom w:val="none" w:sz="0" w:space="0" w:color="auto"/>
                <w:right w:val="none" w:sz="0" w:space="0" w:color="auto"/>
              </w:divBdr>
            </w:div>
            <w:div w:id="491801022">
              <w:marLeft w:val="0"/>
              <w:marRight w:val="0"/>
              <w:marTop w:val="0"/>
              <w:marBottom w:val="0"/>
              <w:divBdr>
                <w:top w:val="none" w:sz="0" w:space="0" w:color="auto"/>
                <w:left w:val="none" w:sz="0" w:space="0" w:color="auto"/>
                <w:bottom w:val="none" w:sz="0" w:space="0" w:color="auto"/>
                <w:right w:val="none" w:sz="0" w:space="0" w:color="auto"/>
              </w:divBdr>
            </w:div>
            <w:div w:id="483086159">
              <w:marLeft w:val="0"/>
              <w:marRight w:val="0"/>
              <w:marTop w:val="0"/>
              <w:marBottom w:val="0"/>
              <w:divBdr>
                <w:top w:val="none" w:sz="0" w:space="0" w:color="auto"/>
                <w:left w:val="none" w:sz="0" w:space="0" w:color="auto"/>
                <w:bottom w:val="none" w:sz="0" w:space="0" w:color="auto"/>
                <w:right w:val="none" w:sz="0" w:space="0" w:color="auto"/>
              </w:divBdr>
            </w:div>
            <w:div w:id="412312546">
              <w:marLeft w:val="0"/>
              <w:marRight w:val="0"/>
              <w:marTop w:val="0"/>
              <w:marBottom w:val="0"/>
              <w:divBdr>
                <w:top w:val="none" w:sz="0" w:space="0" w:color="auto"/>
                <w:left w:val="none" w:sz="0" w:space="0" w:color="auto"/>
                <w:bottom w:val="none" w:sz="0" w:space="0" w:color="auto"/>
                <w:right w:val="none" w:sz="0" w:space="0" w:color="auto"/>
              </w:divBdr>
            </w:div>
            <w:div w:id="2117092479">
              <w:marLeft w:val="0"/>
              <w:marRight w:val="0"/>
              <w:marTop w:val="0"/>
              <w:marBottom w:val="0"/>
              <w:divBdr>
                <w:top w:val="none" w:sz="0" w:space="0" w:color="auto"/>
                <w:left w:val="none" w:sz="0" w:space="0" w:color="auto"/>
                <w:bottom w:val="none" w:sz="0" w:space="0" w:color="auto"/>
                <w:right w:val="none" w:sz="0" w:space="0" w:color="auto"/>
              </w:divBdr>
            </w:div>
            <w:div w:id="1373771634">
              <w:marLeft w:val="0"/>
              <w:marRight w:val="0"/>
              <w:marTop w:val="0"/>
              <w:marBottom w:val="0"/>
              <w:divBdr>
                <w:top w:val="none" w:sz="0" w:space="0" w:color="auto"/>
                <w:left w:val="none" w:sz="0" w:space="0" w:color="auto"/>
                <w:bottom w:val="none" w:sz="0" w:space="0" w:color="auto"/>
                <w:right w:val="none" w:sz="0" w:space="0" w:color="auto"/>
              </w:divBdr>
            </w:div>
            <w:div w:id="61566741">
              <w:marLeft w:val="0"/>
              <w:marRight w:val="0"/>
              <w:marTop w:val="0"/>
              <w:marBottom w:val="0"/>
              <w:divBdr>
                <w:top w:val="none" w:sz="0" w:space="0" w:color="auto"/>
                <w:left w:val="none" w:sz="0" w:space="0" w:color="auto"/>
                <w:bottom w:val="none" w:sz="0" w:space="0" w:color="auto"/>
                <w:right w:val="none" w:sz="0" w:space="0" w:color="auto"/>
              </w:divBdr>
            </w:div>
            <w:div w:id="1612781519">
              <w:marLeft w:val="0"/>
              <w:marRight w:val="0"/>
              <w:marTop w:val="0"/>
              <w:marBottom w:val="0"/>
              <w:divBdr>
                <w:top w:val="none" w:sz="0" w:space="0" w:color="auto"/>
                <w:left w:val="none" w:sz="0" w:space="0" w:color="auto"/>
                <w:bottom w:val="none" w:sz="0" w:space="0" w:color="auto"/>
                <w:right w:val="none" w:sz="0" w:space="0" w:color="auto"/>
              </w:divBdr>
              <w:divsChild>
                <w:div w:id="747658329">
                  <w:marLeft w:val="0"/>
                  <w:marRight w:val="0"/>
                  <w:marTop w:val="0"/>
                  <w:marBottom w:val="0"/>
                  <w:divBdr>
                    <w:top w:val="single" w:sz="8" w:space="0" w:color="000000"/>
                    <w:left w:val="single" w:sz="8" w:space="0" w:color="000000"/>
                    <w:bottom w:val="single" w:sz="8" w:space="0" w:color="000000"/>
                    <w:right w:val="single" w:sz="8" w:space="0" w:color="000000"/>
                  </w:divBdr>
                </w:div>
                <w:div w:id="1450278780">
                  <w:marLeft w:val="0"/>
                  <w:marRight w:val="0"/>
                  <w:marTop w:val="0"/>
                  <w:marBottom w:val="0"/>
                  <w:divBdr>
                    <w:top w:val="none" w:sz="0" w:space="0" w:color="auto"/>
                    <w:left w:val="none" w:sz="0" w:space="0" w:color="auto"/>
                    <w:bottom w:val="none" w:sz="0" w:space="0" w:color="auto"/>
                    <w:right w:val="none" w:sz="0" w:space="0" w:color="auto"/>
                  </w:divBdr>
                </w:div>
              </w:divsChild>
            </w:div>
            <w:div w:id="1838185076">
              <w:marLeft w:val="0"/>
              <w:marRight w:val="0"/>
              <w:marTop w:val="0"/>
              <w:marBottom w:val="0"/>
              <w:divBdr>
                <w:top w:val="none" w:sz="0" w:space="0" w:color="auto"/>
                <w:left w:val="none" w:sz="0" w:space="0" w:color="auto"/>
                <w:bottom w:val="none" w:sz="0" w:space="0" w:color="auto"/>
                <w:right w:val="none" w:sz="0" w:space="0" w:color="auto"/>
              </w:divBdr>
            </w:div>
          </w:divsChild>
        </w:div>
        <w:div w:id="660625946">
          <w:marLeft w:val="0"/>
          <w:marRight w:val="0"/>
          <w:marTop w:val="21"/>
          <w:marBottom w:val="52"/>
          <w:divBdr>
            <w:top w:val="single" w:sz="4" w:space="0" w:color="FFFFFF"/>
            <w:left w:val="single" w:sz="4" w:space="0" w:color="FFFFFF"/>
            <w:bottom w:val="single" w:sz="4" w:space="0" w:color="FFFFFF"/>
            <w:right w:val="single" w:sz="4" w:space="0" w:color="FFFFFF"/>
          </w:divBdr>
          <w:divsChild>
            <w:div w:id="1887600242">
              <w:marLeft w:val="0"/>
              <w:marRight w:val="0"/>
              <w:marTop w:val="0"/>
              <w:marBottom w:val="0"/>
              <w:divBdr>
                <w:top w:val="single" w:sz="4" w:space="0" w:color="FFFFFF"/>
                <w:left w:val="single" w:sz="4" w:space="5" w:color="FFFFFF"/>
                <w:bottom w:val="single" w:sz="4" w:space="0" w:color="FFFFFF"/>
                <w:right w:val="single" w:sz="4" w:space="0" w:color="FFFFFF"/>
              </w:divBdr>
            </w:div>
            <w:div w:id="113407272">
              <w:marLeft w:val="0"/>
              <w:marRight w:val="0"/>
              <w:marTop w:val="0"/>
              <w:marBottom w:val="0"/>
              <w:divBdr>
                <w:top w:val="single" w:sz="4" w:space="0" w:color="FFFFFF"/>
                <w:left w:val="single" w:sz="4" w:space="0" w:color="FFFFFF"/>
                <w:bottom w:val="single" w:sz="4" w:space="0" w:color="FFFFFF"/>
                <w:right w:val="single" w:sz="4" w:space="5" w:color="FFFFFF"/>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cfr.gov/graphics/pdfs/ec01jn92.008.pdf" TargetMode="External"/><Relationship Id="rId13" Type="http://schemas.openxmlformats.org/officeDocument/2006/relationships/hyperlink" Target="mailto:webteam@gpo.gov" TargetMode="External"/><Relationship Id="rId18" Type="http://schemas.openxmlformats.org/officeDocument/2006/relationships/header" Target="header3.xm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image" Target="media/image1.gif"/><Relationship Id="rId12" Type="http://schemas.openxmlformats.org/officeDocument/2006/relationships/hyperlink" Target="mailto:ecfr@nara.gov" TargetMode="External"/><Relationship Id="rId17"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www.ecfr.gov/cgi-bin/text-idx?SID=4b427e7650ca21ae46b25443b8d8dfce&amp;node=20130430y1.7" TargetMode="External"/><Relationship Id="rId11" Type="http://schemas.openxmlformats.org/officeDocument/2006/relationships/image" Target="media/image3.gif"/><Relationship Id="rId5" Type="http://schemas.openxmlformats.org/officeDocument/2006/relationships/endnotes" Target="endnotes.xml"/><Relationship Id="rId15" Type="http://schemas.openxmlformats.org/officeDocument/2006/relationships/header" Target="header2.xml"/><Relationship Id="rId10" Type="http://schemas.openxmlformats.org/officeDocument/2006/relationships/hyperlink" Target="http://www.ecfr.gov/graphics/pdfs/ec01jn92.009.pdf" TargetMode="External"/><Relationship Id="rId19" Type="http://schemas.openxmlformats.org/officeDocument/2006/relationships/footer" Target="footer3.xml"/><Relationship Id="rId4" Type="http://schemas.openxmlformats.org/officeDocument/2006/relationships/footnotes" Target="footnotes.xml"/><Relationship Id="rId9" Type="http://schemas.openxmlformats.org/officeDocument/2006/relationships/image" Target="media/image2.gi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81</Pages>
  <Words>39240</Words>
  <Characters>223673</Characters>
  <Application>Microsoft Office Word</Application>
  <DocSecurity>0</DocSecurity>
  <Lines>1863</Lines>
  <Paragraphs>524</Paragraphs>
  <ScaleCrop>false</ScaleCrop>
  <HeadingPairs>
    <vt:vector size="2" baseType="variant">
      <vt:variant>
        <vt:lpstr>Title</vt:lpstr>
      </vt:variant>
      <vt:variant>
        <vt:i4>1</vt:i4>
      </vt:variant>
    </vt:vector>
  </HeadingPairs>
  <TitlesOfParts>
    <vt:vector size="1" baseType="lpstr">
      <vt:lpstr/>
    </vt:vector>
  </TitlesOfParts>
  <Company>Northeast District</Company>
  <LinksUpToDate>false</LinksUpToDate>
  <CharactersWithSpaces>262389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Yasmin Enriquez</dc:creator>
  <cp:keywords/>
  <dc:description/>
  <cp:lastModifiedBy>Yasmin Enriquez</cp:lastModifiedBy>
  <cp:revision>6</cp:revision>
  <dcterms:created xsi:type="dcterms:W3CDTF">2013-05-13T14:28:00Z</dcterms:created>
  <dcterms:modified xsi:type="dcterms:W3CDTF">2013-05-13T18:42:00Z</dcterms:modified>
</cp:coreProperties>
</file>